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238C4" w14:textId="2D868E6F" w:rsidR="00AC6F42" w:rsidRDefault="00AC6F42" w:rsidP="00AC6F42">
      <w:pPr>
        <w:pStyle w:val="3GPPHeader"/>
        <w:tabs>
          <w:tab w:val="clear" w:pos="1800"/>
          <w:tab w:val="left" w:pos="1580"/>
        </w:tabs>
        <w:snapToGrid w:val="0"/>
        <w:ind w:left="0"/>
        <w:rPr>
          <w:rFonts w:cs="Arial"/>
          <w:sz w:val="22"/>
        </w:rPr>
      </w:pPr>
      <w:bookmarkStart w:id="0" w:name="_Ref494746248"/>
      <w:bookmarkStart w:id="1" w:name="_Ref4817"/>
      <w:r>
        <w:rPr>
          <w:rFonts w:cs="Arial"/>
          <w:sz w:val="22"/>
        </w:rPr>
        <w:t>3GPP TSG RAN WG1 #122</w:t>
      </w:r>
      <w:r>
        <w:rPr>
          <w:rFonts w:cs="Arial"/>
          <w:sz w:val="22"/>
        </w:rPr>
        <w:tab/>
        <w:t xml:space="preserve">   R1-250</w:t>
      </w:r>
      <w:r w:rsidR="006902C7">
        <w:rPr>
          <w:rFonts w:cs="Arial"/>
          <w:sz w:val="22"/>
        </w:rPr>
        <w:t>5941</w:t>
      </w:r>
    </w:p>
    <w:p w14:paraId="69E85DB7" w14:textId="77777777" w:rsidR="00AC6F42" w:rsidRDefault="00AC6F42" w:rsidP="00AC6F42">
      <w:pPr>
        <w:pStyle w:val="3GPPHeader"/>
        <w:tabs>
          <w:tab w:val="clear" w:pos="1800"/>
          <w:tab w:val="left" w:pos="1580"/>
        </w:tabs>
        <w:snapToGrid w:val="0"/>
        <w:ind w:left="0"/>
        <w:rPr>
          <w:rFonts w:cs="Arial"/>
          <w:sz w:val="22"/>
          <w:lang w:eastAsia="ja-JP"/>
        </w:rPr>
      </w:pPr>
      <w:r>
        <w:rPr>
          <w:rFonts w:cs="Arial"/>
          <w:sz w:val="22"/>
          <w:lang w:eastAsia="ja-JP"/>
        </w:rPr>
        <w:t>Bengaluru, India, Aug 25</w:t>
      </w:r>
      <w:r>
        <w:rPr>
          <w:rFonts w:cs="Arial"/>
          <w:sz w:val="22"/>
          <w:vertAlign w:val="superscript"/>
          <w:lang w:eastAsia="ja-JP"/>
        </w:rPr>
        <w:t>th</w:t>
      </w:r>
      <w:r>
        <w:rPr>
          <w:rFonts w:cs="Arial"/>
          <w:sz w:val="22"/>
          <w:lang w:eastAsia="ja-JP"/>
        </w:rPr>
        <w:t xml:space="preserve"> – 29</w:t>
      </w:r>
      <w:r>
        <w:rPr>
          <w:rFonts w:cs="Arial"/>
          <w:sz w:val="22"/>
          <w:vertAlign w:val="superscript"/>
          <w:lang w:eastAsia="ja-JP"/>
        </w:rPr>
        <w:t>th</w:t>
      </w:r>
      <w:r>
        <w:rPr>
          <w:rFonts w:cs="Arial"/>
          <w:sz w:val="22"/>
          <w:lang w:eastAsia="ja-JP"/>
        </w:rPr>
        <w:t>, 2025</w:t>
      </w:r>
    </w:p>
    <w:p w14:paraId="3BFDE6DE" w14:textId="77777777" w:rsidR="00331DE9" w:rsidRDefault="00331DE9">
      <w:pPr>
        <w:rPr>
          <w:rFonts w:ascii="Arial" w:hAnsi="Arial" w:cs="Arial"/>
          <w:b/>
          <w:kern w:val="2"/>
          <w:sz w:val="22"/>
        </w:rPr>
      </w:pPr>
    </w:p>
    <w:p w14:paraId="019CDE99" w14:textId="77777777" w:rsidR="009A57BC" w:rsidRDefault="00A84CF7" w:rsidP="006902C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6902C7" w:rsidRPr="006902C7">
        <w:rPr>
          <w:rFonts w:ascii="Arial" w:hAnsi="Arial"/>
          <w:b/>
        </w:rPr>
        <w:t xml:space="preserve">Discussion on SA4 LS on the RAN simulation assumptions for </w:t>
      </w:r>
      <w:proofErr w:type="spellStart"/>
      <w:r w:rsidR="006902C7" w:rsidRPr="006902C7">
        <w:rPr>
          <w:rFonts w:ascii="Arial" w:hAnsi="Arial"/>
          <w:b/>
        </w:rPr>
        <w:t>ULBC</w:t>
      </w:r>
      <w:proofErr w:type="spellEnd"/>
    </w:p>
    <w:p w14:paraId="21C27A92" w14:textId="2FB9AFE0" w:rsidR="00147D48" w:rsidRDefault="00A84CF7" w:rsidP="006902C7">
      <w:pPr>
        <w:tabs>
          <w:tab w:val="left" w:pos="1418"/>
        </w:tabs>
        <w:ind w:left="1440" w:hanging="142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 xml:space="preserve">ZTE Corporation, </w:t>
      </w:r>
      <w:proofErr w:type="spellStart"/>
      <w:r>
        <w:rPr>
          <w:rStyle w:val="afe"/>
          <w:rFonts w:ascii="Arial" w:hAnsi="Arial" w:cs="Arial"/>
          <w:color w:val="000000" w:themeColor="text1"/>
          <w:shd w:val="clear" w:color="auto" w:fill="FFFFFF"/>
        </w:rPr>
        <w:t>Sanechips</w:t>
      </w:r>
      <w:proofErr w:type="spellEnd"/>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bookmarkStart w:id="2" w:name="_GoBack"/>
      <w:bookmarkEnd w:id="2"/>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  Discussion</w:t>
      </w:r>
    </w:p>
    <w:p w14:paraId="167A7E7E" w14:textId="77777777" w:rsidR="00147D48" w:rsidRDefault="00A84CF7">
      <w:pPr>
        <w:pStyle w:val="1"/>
        <w:pBdr>
          <w:top w:val="single" w:sz="12" w:space="0" w:color="auto"/>
        </w:pBdr>
      </w:pPr>
      <w:bookmarkStart w:id="4" w:name="_Ref165994003"/>
      <w:r>
        <w:t>Introduction</w:t>
      </w:r>
      <w:bookmarkEnd w:id="0"/>
      <w:bookmarkEnd w:id="1"/>
      <w:bookmarkEnd w:id="4"/>
    </w:p>
    <w:p w14:paraId="02DE7123" w14:textId="2FD800BA" w:rsidR="00147D48" w:rsidRDefault="000C26F8">
      <w:pPr>
        <w:spacing w:beforeLines="50" w:before="120" w:afterLines="50" w:after="120"/>
        <w:rPr>
          <w:lang w:val="en-US" w:eastAsia="zh-CN"/>
        </w:rPr>
      </w:pPr>
      <w:r>
        <w:rPr>
          <w:lang w:val="en-US" w:eastAsia="zh-CN"/>
        </w:rPr>
        <w:t>As the listed in the WID</w:t>
      </w:r>
      <w:r>
        <w:rPr>
          <w:lang w:val="en-US" w:eastAsia="zh-CN"/>
        </w:rPr>
        <w:fldChar w:fldCharType="begin"/>
      </w:r>
      <w:r>
        <w:rPr>
          <w:lang w:val="en-US" w:eastAsia="zh-CN"/>
        </w:rPr>
        <w:instrText xml:space="preserve"> REF _Ref197591232 \r \h </w:instrText>
      </w:r>
      <w:r>
        <w:rPr>
          <w:lang w:val="en-US" w:eastAsia="zh-CN"/>
        </w:rPr>
      </w:r>
      <w:r>
        <w:rPr>
          <w:lang w:val="en-US" w:eastAsia="zh-CN"/>
        </w:rPr>
        <w:fldChar w:fldCharType="separate"/>
      </w:r>
      <w:r>
        <w:rPr>
          <w:lang w:val="en-US" w:eastAsia="zh-CN"/>
        </w:rPr>
        <w:t xml:space="preserve">[1] </w:t>
      </w:r>
      <w:r>
        <w:rPr>
          <w:lang w:val="en-US" w:eastAsia="zh-CN"/>
        </w:rPr>
        <w:fldChar w:fldCharType="end"/>
      </w:r>
      <w:r>
        <w:rPr>
          <w:lang w:val="en-US" w:eastAsia="zh-CN"/>
        </w:rPr>
        <w:t xml:space="preserve">, </w:t>
      </w:r>
      <w:r w:rsidR="006B3EDA" w:rsidRPr="006B3EDA">
        <w:rPr>
          <w:lang w:val="en-US" w:eastAsia="zh-CN"/>
        </w:rPr>
        <w:t>specify</w:t>
      </w:r>
      <w:r w:rsidR="006B3EDA">
        <w:rPr>
          <w:lang w:val="en-US" w:eastAsia="zh-CN"/>
        </w:rPr>
        <w:t>ing</w:t>
      </w:r>
      <w:r w:rsidR="006B3EDA" w:rsidRPr="006B3EDA">
        <w:rPr>
          <w:lang w:val="en-US" w:eastAsia="zh-CN"/>
        </w:rPr>
        <w:t xml:space="preserve"> the enhancement of NB-IoT-NTN to support IMS voice call over GSO </w:t>
      </w:r>
      <w:r w:rsidR="006B3EDA">
        <w:rPr>
          <w:lang w:val="en-US" w:eastAsia="zh-CN"/>
        </w:rPr>
        <w:t xml:space="preserve">is the target of Rel-20 IoT-NTN. </w:t>
      </w:r>
      <w:r w:rsidR="00E35F57">
        <w:rPr>
          <w:lang w:val="en-US" w:eastAsia="zh-CN"/>
        </w:rPr>
        <w:t>I</w:t>
      </w:r>
      <w:r w:rsidR="00E35F57">
        <w:rPr>
          <w:rFonts w:hint="eastAsia"/>
          <w:lang w:val="en-US" w:eastAsia="zh-CN"/>
        </w:rPr>
        <w:t>n</w:t>
      </w:r>
      <w:r w:rsidR="00E35F57">
        <w:rPr>
          <w:lang w:val="en-US" w:eastAsia="zh-CN"/>
        </w:rPr>
        <w:t xml:space="preserve"> </w:t>
      </w:r>
      <w:r w:rsidR="006B3EDA">
        <w:rPr>
          <w:lang w:val="en-US" w:eastAsia="zh-CN"/>
        </w:rPr>
        <w:t>SA4</w:t>
      </w:r>
      <w:r w:rsidR="00E35F57">
        <w:rPr>
          <w:lang w:val="en-US" w:eastAsia="zh-CN"/>
        </w:rPr>
        <w:t xml:space="preserve"> LS </w:t>
      </w:r>
      <w:r w:rsidR="00E35F57">
        <w:rPr>
          <w:lang w:val="en-US" w:eastAsia="zh-CN"/>
        </w:rPr>
        <w:fldChar w:fldCharType="begin"/>
      </w:r>
      <w:r w:rsidR="00E35F57">
        <w:rPr>
          <w:lang w:val="en-US" w:eastAsia="zh-CN"/>
        </w:rPr>
        <w:instrText xml:space="preserve"> REF _Ref197591315 \r \h  \* MERGEFORMAT </w:instrText>
      </w:r>
      <w:r w:rsidR="00E35F57">
        <w:rPr>
          <w:lang w:val="en-US" w:eastAsia="zh-CN"/>
        </w:rPr>
      </w:r>
      <w:r w:rsidR="00E35F57">
        <w:rPr>
          <w:lang w:val="en-US" w:eastAsia="zh-CN"/>
        </w:rPr>
        <w:fldChar w:fldCharType="separate"/>
      </w:r>
      <w:r w:rsidR="00E35F57">
        <w:rPr>
          <w:lang w:val="en-US" w:eastAsia="zh-CN"/>
        </w:rPr>
        <w:t xml:space="preserve">[2] </w:t>
      </w:r>
      <w:r w:rsidR="00E35F57">
        <w:rPr>
          <w:lang w:val="en-US" w:eastAsia="zh-CN"/>
        </w:rPr>
        <w:fldChar w:fldCharType="end"/>
      </w:r>
      <w:r w:rsidR="00E35F57">
        <w:rPr>
          <w:lang w:val="en-US" w:eastAsia="zh-CN"/>
        </w:rPr>
        <w:t xml:space="preserve">, </w:t>
      </w:r>
      <w:r w:rsidR="006B3EDA">
        <w:rPr>
          <w:lang w:val="en-US" w:eastAsia="zh-CN"/>
        </w:rPr>
        <w:t>SA4</w:t>
      </w:r>
      <w:r w:rsidR="00E35F57">
        <w:rPr>
          <w:lang w:val="en-US" w:eastAsia="zh-CN"/>
        </w:rPr>
        <w:t xml:space="preserve"> </w:t>
      </w:r>
      <w:r w:rsidR="006B3EDA" w:rsidRPr="006B3EDA">
        <w:rPr>
          <w:lang w:val="en-US" w:eastAsia="zh-CN"/>
        </w:rPr>
        <w:t>asks RAN1 to confirm the evaluation assumptions</w:t>
      </w:r>
      <w:r w:rsidR="006B3EDA">
        <w:rPr>
          <w:lang w:val="en-US" w:eastAsia="zh-CN"/>
        </w:rPr>
        <w:t xml:space="preserve"> and how to determine the RX G/T value</w:t>
      </w:r>
      <w:r w:rsidR="006B3EDA" w:rsidRPr="006B3EDA">
        <w:rPr>
          <w:lang w:val="en-US" w:eastAsia="zh-CN"/>
        </w:rPr>
        <w:t>.</w:t>
      </w:r>
      <w:r w:rsidR="006B3EDA">
        <w:rPr>
          <w:lang w:val="en-US" w:eastAsia="zh-CN"/>
        </w:rPr>
        <w:t xml:space="preserve"> </w:t>
      </w:r>
      <w:r w:rsidR="00A84CF7">
        <w:rPr>
          <w:lang w:eastAsia="zh-CN"/>
        </w:rPr>
        <w:t>In this contribution,</w:t>
      </w:r>
      <w:r w:rsidR="00867A1F">
        <w:rPr>
          <w:lang w:eastAsia="zh-CN"/>
        </w:rPr>
        <w:t xml:space="preserve"> the </w:t>
      </w:r>
      <w:r w:rsidR="006B3EDA">
        <w:rPr>
          <w:lang w:eastAsia="zh-CN"/>
        </w:rPr>
        <w:t>views on the questions from SA4 are analysed.</w:t>
      </w:r>
    </w:p>
    <w:p w14:paraId="2AA6FC7F" w14:textId="499B30A8" w:rsidR="00147D48" w:rsidRDefault="006B1598">
      <w:pPr>
        <w:pStyle w:val="1"/>
        <w:pBdr>
          <w:top w:val="single" w:sz="12" w:space="0" w:color="auto"/>
        </w:pBdr>
      </w:pPr>
      <w:r>
        <w:rPr>
          <w:lang w:val="en-US" w:eastAsia="zh-CN"/>
        </w:rPr>
        <w:t xml:space="preserve">Discussion on the </w:t>
      </w:r>
      <w:r w:rsidR="006B3EDA">
        <w:rPr>
          <w:lang w:val="en-US" w:eastAsia="zh-CN"/>
        </w:rPr>
        <w:t>SA4</w:t>
      </w:r>
      <w:r>
        <w:rPr>
          <w:lang w:val="en-US" w:eastAsia="zh-CN"/>
        </w:rPr>
        <w:t xml:space="preserve"> questions</w:t>
      </w:r>
    </w:p>
    <w:p w14:paraId="0FACCBB2" w14:textId="3642372C" w:rsidR="00114FC6" w:rsidRPr="00127A3D" w:rsidRDefault="00114FC6" w:rsidP="00114FC6">
      <w:pPr>
        <w:pStyle w:val="2"/>
        <w:rPr>
          <w:rFonts w:cs="Arial"/>
          <w:szCs w:val="24"/>
          <w:lang w:val="en-US"/>
        </w:rPr>
      </w:pPr>
      <w:r>
        <w:rPr>
          <w:rFonts w:cs="Arial"/>
          <w:szCs w:val="24"/>
          <w:lang w:val="en-US" w:eastAsia="zh-CN"/>
        </w:rPr>
        <w:t>Question-</w:t>
      </w:r>
      <w:r w:rsidR="006B3EDA">
        <w:rPr>
          <w:rFonts w:cs="Arial"/>
          <w:szCs w:val="24"/>
          <w:lang w:val="en-US" w:eastAsia="zh-CN"/>
        </w:rPr>
        <w:t>1</w:t>
      </w:r>
    </w:p>
    <w:tbl>
      <w:tblPr>
        <w:tblStyle w:val="afd"/>
        <w:tblW w:w="0" w:type="auto"/>
        <w:tblLook w:val="04A0" w:firstRow="1" w:lastRow="0" w:firstColumn="1" w:lastColumn="0" w:noHBand="0" w:noVBand="1"/>
      </w:tblPr>
      <w:tblGrid>
        <w:gridCol w:w="9629"/>
      </w:tblGrid>
      <w:tr w:rsidR="00114FC6" w14:paraId="7519AD65" w14:textId="77777777" w:rsidTr="00114FC6">
        <w:tc>
          <w:tcPr>
            <w:tcW w:w="9629" w:type="dxa"/>
          </w:tcPr>
          <w:p w14:paraId="7DF68357" w14:textId="2F73D78C" w:rsidR="00114FC6" w:rsidRPr="006B3EDA" w:rsidRDefault="006B3EDA" w:rsidP="006B3EDA">
            <w:pPr>
              <w:rPr>
                <w:rFonts w:ascii="Arial" w:eastAsia="等线" w:hAnsi="Arial" w:cs="Arial" w:hint="eastAsia"/>
                <w:lang w:eastAsia="zh-CN"/>
              </w:rPr>
            </w:pPr>
            <w:r w:rsidRPr="000C5782">
              <w:rPr>
                <w:rFonts w:ascii="Arial" w:hAnsi="Arial" w:cs="Arial"/>
                <w:bCs/>
              </w:rPr>
              <w:t>Q1:</w:t>
            </w:r>
            <w:r>
              <w:rPr>
                <w:rFonts w:ascii="Arial" w:hAnsi="Arial" w:cs="Arial"/>
                <w:b/>
              </w:rPr>
              <w:t xml:space="preserve"> </w:t>
            </w:r>
            <w:r w:rsidRPr="00700296">
              <w:rPr>
                <w:rFonts w:ascii="Arial" w:eastAsia="等线" w:hAnsi="Arial" w:cs="Arial"/>
                <w:lang w:eastAsia="zh-CN"/>
              </w:rPr>
              <w:t xml:space="preserve">SA4 kindly asks </w:t>
            </w:r>
            <w:r>
              <w:rPr>
                <w:rFonts w:ascii="Arial" w:eastAsia="等线" w:hAnsi="Arial" w:cs="Arial"/>
                <w:lang w:eastAsia="zh-CN"/>
              </w:rPr>
              <w:t>RAN1</w:t>
            </w:r>
            <w:r w:rsidRPr="00700296">
              <w:rPr>
                <w:rFonts w:ascii="Arial" w:eastAsia="等线" w:hAnsi="Arial" w:cs="Arial"/>
                <w:lang w:eastAsia="zh-CN"/>
              </w:rPr>
              <w:t xml:space="preserve"> to </w:t>
            </w:r>
            <w:r>
              <w:rPr>
                <w:rFonts w:ascii="Arial" w:eastAsia="等线" w:hAnsi="Arial" w:cs="Arial"/>
                <w:lang w:eastAsia="zh-CN"/>
              </w:rPr>
              <w:t>confirm the evaluation assumptions in the attachment, and provide feedback, if any.</w:t>
            </w:r>
          </w:p>
        </w:tc>
      </w:tr>
    </w:tbl>
    <w:p w14:paraId="4D721AA7" w14:textId="26892761" w:rsidR="003046CE" w:rsidRDefault="005724CD" w:rsidP="004F105D">
      <w:pPr>
        <w:spacing w:before="120" w:after="120"/>
        <w:rPr>
          <w:rFonts w:hint="eastAsia"/>
          <w:iCs/>
          <w:lang w:eastAsia="zh-CN"/>
        </w:rPr>
      </w:pPr>
      <w:r>
        <w:rPr>
          <w:iCs/>
          <w:lang w:eastAsia="zh-CN"/>
        </w:rPr>
        <w:t>In the attachment, following figure is considered as a</w:t>
      </w:r>
      <w:r w:rsidR="003046CE">
        <w:rPr>
          <w:iCs/>
          <w:lang w:eastAsia="zh-CN"/>
        </w:rPr>
        <w:t>n example</w:t>
      </w:r>
      <w:r>
        <w:rPr>
          <w:iCs/>
          <w:lang w:eastAsia="zh-CN"/>
        </w:rPr>
        <w:t xml:space="preserve"> </w:t>
      </w:r>
      <w:r w:rsidRPr="005724CD">
        <w:rPr>
          <w:iCs/>
          <w:lang w:eastAsia="zh-CN"/>
        </w:rPr>
        <w:t>frame structure for 80ms bundling period</w:t>
      </w:r>
      <w:r>
        <w:rPr>
          <w:iCs/>
          <w:lang w:eastAsia="zh-CN"/>
        </w:rPr>
        <w:t xml:space="preserve"> for dynamic scheduling. The UL NPDCCH is transmitted within the interval between DL NPDCCH and corresponding NPDSCH. However, such</w:t>
      </w:r>
      <w:r w:rsidR="003046CE">
        <w:rPr>
          <w:iCs/>
          <w:lang w:eastAsia="zh-CN"/>
        </w:rPr>
        <w:t xml:space="preserve"> example is only applicable for </w:t>
      </w:r>
      <w:r w:rsidR="003402B6">
        <w:rPr>
          <w:iCs/>
          <w:lang w:eastAsia="zh-CN"/>
        </w:rPr>
        <w:t>the scenario where</w:t>
      </w:r>
      <w:r w:rsidR="003046CE">
        <w:rPr>
          <w:iCs/>
          <w:lang w:eastAsia="zh-CN"/>
        </w:rPr>
        <w:t xml:space="preserve"> 2 HARQ processes</w:t>
      </w:r>
      <w:r w:rsidR="003402B6">
        <w:rPr>
          <w:iCs/>
          <w:lang w:eastAsia="zh-CN"/>
        </w:rPr>
        <w:t xml:space="preserve"> are configured</w:t>
      </w:r>
      <w:r w:rsidR="003046CE">
        <w:rPr>
          <w:iCs/>
          <w:lang w:eastAsia="zh-CN"/>
        </w:rPr>
        <w:t xml:space="preserve">. For single-HARQ </w:t>
      </w:r>
      <w:r w:rsidR="003402B6">
        <w:rPr>
          <w:iCs/>
          <w:lang w:eastAsia="zh-CN"/>
        </w:rPr>
        <w:t>scenario</w:t>
      </w:r>
      <w:r w:rsidR="003046CE">
        <w:rPr>
          <w:iCs/>
          <w:lang w:eastAsia="zh-CN"/>
        </w:rPr>
        <w:t>, the UE is not required to monitor NPDCCH within the interval between NPDCCH and NPDSCH according specification in TS 36.213. RAN1 need to inform SA4 this information for evaluation assumption.</w:t>
      </w:r>
    </w:p>
    <w:p w14:paraId="2E38ADF2" w14:textId="51D1B03F" w:rsidR="005724CD" w:rsidRDefault="005724CD" w:rsidP="005724CD">
      <w:pPr>
        <w:keepNext/>
        <w:jc w:val="center"/>
        <w:rPr>
          <w:rFonts w:eastAsia="宋体"/>
          <w:lang w:val="en-US" w:eastAsia="zh-CN"/>
        </w:rPr>
      </w:pPr>
      <w:r>
        <w:rPr>
          <w:noProof/>
        </w:rPr>
        <w:drawing>
          <wp:inline distT="0" distB="0" distL="0" distR="0" wp14:anchorId="4F20891B" wp14:editId="598B5892">
            <wp:extent cx="4895850" cy="2152650"/>
            <wp:effectExtent l="0" t="0" r="0" b="0"/>
            <wp:docPr id="2" name="图片 2" descr="C:\Users\102636~1.A25\AppData\Local\Temp\ksohtml1787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636~1.A25\AppData\Local\Temp\ksohtml17872\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5850" cy="2152650"/>
                    </a:xfrm>
                    <a:prstGeom prst="rect">
                      <a:avLst/>
                    </a:prstGeom>
                    <a:noFill/>
                    <a:ln>
                      <a:noFill/>
                    </a:ln>
                  </pic:spPr>
                </pic:pic>
              </a:graphicData>
            </a:graphic>
          </wp:inline>
        </w:drawing>
      </w:r>
    </w:p>
    <w:p w14:paraId="4D04EB2F" w14:textId="5602D968" w:rsidR="003402B6" w:rsidRPr="003402B6" w:rsidRDefault="005724CD" w:rsidP="003402B6">
      <w:pPr>
        <w:pStyle w:val="a6"/>
        <w:rPr>
          <w:rFonts w:ascii="Arial" w:eastAsia="Times New Roman" w:hAnsi="Arial" w:cs="Arial"/>
          <w:b/>
          <w:bCs w:val="0"/>
          <w:i w:val="0"/>
          <w:iCs/>
        </w:rPr>
      </w:pPr>
      <w:r>
        <w:rPr>
          <w:rFonts w:ascii="Arial" w:eastAsia="Times New Roman" w:hAnsi="Arial" w:cs="Arial"/>
          <w:b/>
          <w:bCs w:val="0"/>
          <w:i w:val="0"/>
          <w:iCs/>
        </w:rPr>
        <w:t>Figure 5.2.2.3-1 An example frame structure for 80ms bundling period and dynamic scheduling</w:t>
      </w:r>
    </w:p>
    <w:p w14:paraId="05FC625C" w14:textId="7B2AFBA5" w:rsidR="008B43E6" w:rsidRDefault="008B43E6" w:rsidP="00380B65">
      <w:pPr>
        <w:spacing w:before="120"/>
        <w:rPr>
          <w:i/>
          <w:iCs/>
          <w:lang w:val="en-US" w:eastAsia="zh-CN"/>
        </w:rPr>
      </w:pPr>
      <w:r>
        <w:rPr>
          <w:b/>
          <w:bCs/>
          <w:i/>
          <w:iCs/>
          <w:lang w:eastAsia="zh-CN"/>
        </w:rPr>
        <w:t xml:space="preserve">Proposal </w:t>
      </w:r>
      <w:r w:rsidR="00BF16A0">
        <w:rPr>
          <w:b/>
          <w:bCs/>
          <w:i/>
          <w:iCs/>
          <w:lang w:val="en-US" w:eastAsia="zh-CN"/>
        </w:rPr>
        <w:t>1</w:t>
      </w:r>
      <w:r>
        <w:rPr>
          <w:rFonts w:hint="eastAsia"/>
          <w:b/>
          <w:bCs/>
          <w:i/>
          <w:iCs/>
          <w:lang w:eastAsia="zh-CN"/>
        </w:rPr>
        <w:t>:</w:t>
      </w:r>
      <w:r>
        <w:rPr>
          <w:b/>
          <w:bCs/>
          <w:i/>
          <w:iCs/>
          <w:lang w:eastAsia="zh-CN"/>
        </w:rPr>
        <w:t xml:space="preserve"> </w:t>
      </w:r>
      <w:r w:rsidR="003046CE">
        <w:rPr>
          <w:i/>
          <w:iCs/>
          <w:lang w:val="en-US" w:eastAsia="zh-CN"/>
        </w:rPr>
        <w:t xml:space="preserve">RAN1 </w:t>
      </w:r>
      <w:r w:rsidR="00AA6F28">
        <w:rPr>
          <w:i/>
          <w:iCs/>
          <w:lang w:val="en-US" w:eastAsia="zh-CN"/>
        </w:rPr>
        <w:t xml:space="preserve">reply </w:t>
      </w:r>
      <w:r w:rsidR="003046CE">
        <w:rPr>
          <w:i/>
          <w:iCs/>
          <w:lang w:val="en-US" w:eastAsia="zh-CN"/>
        </w:rPr>
        <w:t xml:space="preserve">SA4 that UE is not required to monitor NPDCCH within the interval between DL NPDCCH and NPDSCH </w:t>
      </w:r>
      <w:r w:rsidR="00987ABF">
        <w:rPr>
          <w:i/>
          <w:iCs/>
          <w:lang w:val="en-US" w:eastAsia="zh-CN"/>
        </w:rPr>
        <w:t>for single HARQ scenario</w:t>
      </w:r>
      <w:r w:rsidR="003402B6">
        <w:rPr>
          <w:rFonts w:eastAsia="等线"/>
          <w:i/>
        </w:rPr>
        <w:t>.</w:t>
      </w:r>
      <w:r w:rsidR="00DD7095">
        <w:rPr>
          <w:rFonts w:eastAsia="等线"/>
          <w:i/>
        </w:rPr>
        <w:t xml:space="preserve"> </w:t>
      </w:r>
      <w:r w:rsidR="0062705C">
        <w:rPr>
          <w:rFonts w:eastAsia="等线"/>
          <w:i/>
        </w:rPr>
        <w:t>The example frame structure for dynamic scheduling is not applicable to the scenario where single HARQ process is used.</w:t>
      </w:r>
    </w:p>
    <w:p w14:paraId="03F785D7" w14:textId="392165D9" w:rsidR="002730C1" w:rsidRPr="00127A3D" w:rsidRDefault="002730C1" w:rsidP="002730C1">
      <w:pPr>
        <w:pStyle w:val="2"/>
        <w:rPr>
          <w:rFonts w:cs="Arial"/>
          <w:szCs w:val="24"/>
          <w:lang w:val="en-US"/>
        </w:rPr>
      </w:pPr>
      <w:r>
        <w:rPr>
          <w:rFonts w:cs="Arial"/>
          <w:szCs w:val="24"/>
          <w:lang w:val="en-US" w:eastAsia="zh-CN"/>
        </w:rPr>
        <w:t>Question-</w:t>
      </w:r>
      <w:r>
        <w:rPr>
          <w:rFonts w:cs="Arial"/>
          <w:szCs w:val="24"/>
          <w:lang w:val="en-US" w:eastAsia="zh-CN"/>
        </w:rPr>
        <w:t>2</w:t>
      </w:r>
    </w:p>
    <w:tbl>
      <w:tblPr>
        <w:tblStyle w:val="afd"/>
        <w:tblW w:w="0" w:type="auto"/>
        <w:tblLook w:val="04A0" w:firstRow="1" w:lastRow="0" w:firstColumn="1" w:lastColumn="0" w:noHBand="0" w:noVBand="1"/>
      </w:tblPr>
      <w:tblGrid>
        <w:gridCol w:w="9629"/>
      </w:tblGrid>
      <w:tr w:rsidR="001A5903" w14:paraId="5726952D" w14:textId="77777777" w:rsidTr="001A5903">
        <w:tc>
          <w:tcPr>
            <w:tcW w:w="9629" w:type="dxa"/>
          </w:tcPr>
          <w:p w14:paraId="2A88A4CA" w14:textId="74DCCEAB" w:rsidR="001A5903" w:rsidRPr="002730C1" w:rsidRDefault="002730C1" w:rsidP="002730C1">
            <w:pPr>
              <w:rPr>
                <w:rFonts w:ascii="Arial" w:eastAsia="等线" w:hAnsi="Arial" w:cs="Arial"/>
                <w:lang w:eastAsia="zh-CN"/>
              </w:rPr>
            </w:pPr>
            <w:r>
              <w:rPr>
                <w:rFonts w:ascii="Arial" w:eastAsia="等线" w:hAnsi="Arial" w:cs="Arial"/>
                <w:lang w:eastAsia="zh-CN"/>
              </w:rPr>
              <w:t xml:space="preserve">Q2: </w:t>
            </w:r>
            <w:r w:rsidRPr="00D95DEB">
              <w:rPr>
                <w:rFonts w:ascii="Arial" w:eastAsia="等线" w:hAnsi="Arial" w:cs="Arial"/>
                <w:lang w:eastAsia="zh-CN"/>
              </w:rPr>
              <w:t xml:space="preserve">In </w:t>
            </w:r>
            <w:r w:rsidRPr="006170F4">
              <w:rPr>
                <w:rFonts w:ascii="Arial" w:eastAsia="等线" w:hAnsi="Arial" w:cs="Arial"/>
                <w:lang w:eastAsia="zh-CN"/>
              </w:rPr>
              <w:t xml:space="preserve">Table 6.1.3.3-1 </w:t>
            </w:r>
            <w:r>
              <w:rPr>
                <w:rFonts w:ascii="Arial" w:eastAsia="等线" w:hAnsi="Arial" w:cs="Arial"/>
                <w:lang w:eastAsia="zh-CN"/>
              </w:rPr>
              <w:t xml:space="preserve">of </w:t>
            </w:r>
            <w:r w:rsidRPr="00D95DEB">
              <w:rPr>
                <w:rFonts w:ascii="Arial" w:eastAsia="等线" w:hAnsi="Arial" w:cs="Arial"/>
                <w:lang w:eastAsia="zh-CN"/>
              </w:rPr>
              <w:t xml:space="preserve">TR 38.821, </w:t>
            </w:r>
            <w:r>
              <w:rPr>
                <w:rFonts w:ascii="Arial" w:eastAsia="等线" w:hAnsi="Arial" w:cs="Arial"/>
                <w:lang w:eastAsia="zh-CN"/>
              </w:rPr>
              <w:t xml:space="preserve">how </w:t>
            </w:r>
            <w:r w:rsidRPr="00D95DEB">
              <w:rPr>
                <w:rFonts w:ascii="Arial" w:eastAsia="等线" w:hAnsi="Arial" w:cs="Arial"/>
                <w:lang w:eastAsia="zh-CN"/>
              </w:rPr>
              <w:t xml:space="preserve">the RX G/T value </w:t>
            </w:r>
            <w:r>
              <w:rPr>
                <w:rFonts w:ascii="Arial" w:eastAsia="等线" w:hAnsi="Arial" w:cs="Arial"/>
                <w:lang w:eastAsia="zh-CN"/>
              </w:rPr>
              <w:t xml:space="preserve">(-31.6 dB/T) in the table or equivalently the antenna </w:t>
            </w:r>
            <w:proofErr w:type="gramStart"/>
            <w:r>
              <w:rPr>
                <w:rFonts w:ascii="Arial" w:eastAsia="等线" w:hAnsi="Arial" w:cs="Arial"/>
                <w:lang w:eastAsia="zh-CN"/>
              </w:rPr>
              <w:t>gain</w:t>
            </w:r>
            <w:proofErr w:type="gramEnd"/>
            <w:r>
              <w:rPr>
                <w:rFonts w:ascii="Arial" w:eastAsia="等线" w:hAnsi="Arial" w:cs="Arial"/>
                <w:lang w:eastAsia="zh-CN"/>
              </w:rPr>
              <w:t xml:space="preserve"> and noise figure </w:t>
            </w:r>
            <w:r w:rsidRPr="00D95DEB">
              <w:rPr>
                <w:rFonts w:ascii="Arial" w:eastAsia="等线" w:hAnsi="Arial" w:cs="Arial"/>
                <w:lang w:eastAsia="zh-CN"/>
              </w:rPr>
              <w:t xml:space="preserve">for DL for NB-IoT with GEO </w:t>
            </w:r>
            <w:r>
              <w:rPr>
                <w:rFonts w:ascii="Arial" w:eastAsia="等线" w:hAnsi="Arial" w:cs="Arial"/>
                <w:lang w:eastAsia="zh-CN"/>
              </w:rPr>
              <w:t>are</w:t>
            </w:r>
            <w:r w:rsidRPr="00D95DEB">
              <w:rPr>
                <w:rFonts w:ascii="Arial" w:eastAsia="等线" w:hAnsi="Arial" w:cs="Arial"/>
                <w:lang w:eastAsia="zh-CN"/>
              </w:rPr>
              <w:t xml:space="preserve"> </w:t>
            </w:r>
            <w:r>
              <w:rPr>
                <w:rFonts w:ascii="Arial" w:eastAsia="等线" w:hAnsi="Arial" w:cs="Arial"/>
                <w:lang w:eastAsia="zh-CN"/>
              </w:rPr>
              <w:t>determined, whether it is a worst-case scenario, and whether SA4 can assume this value in the simulation?</w:t>
            </w:r>
          </w:p>
        </w:tc>
      </w:tr>
    </w:tbl>
    <w:p w14:paraId="1FC96573" w14:textId="26B088BB" w:rsidR="00F15344" w:rsidRPr="00F15344" w:rsidRDefault="00F15344" w:rsidP="00F15344">
      <w:pPr>
        <w:rPr>
          <w:rFonts w:eastAsia="等线"/>
        </w:rPr>
      </w:pPr>
      <w:r>
        <w:rPr>
          <w:iCs/>
          <w:lang w:val="en-US" w:eastAsia="zh-CN"/>
        </w:rPr>
        <w:t>Accor</w:t>
      </w:r>
      <w:r>
        <w:rPr>
          <w:iCs/>
          <w:lang w:val="en-US" w:eastAsia="zh-CN"/>
        </w:rPr>
        <w:t>ding to TR 38.821</w:t>
      </w:r>
      <w:r w:rsidR="000E0F53">
        <w:rPr>
          <w:iCs/>
          <w:lang w:val="en-US" w:eastAsia="zh-CN"/>
        </w:rPr>
        <w:t xml:space="preserve"> </w:t>
      </w:r>
      <w:r w:rsidR="000E0F53">
        <w:rPr>
          <w:iCs/>
          <w:lang w:val="en-US" w:eastAsia="zh-CN"/>
        </w:rPr>
        <w:fldChar w:fldCharType="begin"/>
      </w:r>
      <w:r w:rsidR="000E0F53">
        <w:rPr>
          <w:iCs/>
          <w:lang w:val="en-US" w:eastAsia="zh-CN"/>
        </w:rPr>
        <w:instrText xml:space="preserve"> REF _Ref206071979 \w \h </w:instrText>
      </w:r>
      <w:r w:rsidR="000E0F53">
        <w:rPr>
          <w:iCs/>
          <w:lang w:val="en-US" w:eastAsia="zh-CN"/>
        </w:rPr>
      </w:r>
      <w:r w:rsidR="000E0F53">
        <w:rPr>
          <w:iCs/>
          <w:lang w:val="en-US" w:eastAsia="zh-CN"/>
        </w:rPr>
        <w:fldChar w:fldCharType="separate"/>
      </w:r>
      <w:r w:rsidR="000E0F53">
        <w:rPr>
          <w:iCs/>
          <w:lang w:val="en-US" w:eastAsia="zh-CN"/>
        </w:rPr>
        <w:t xml:space="preserve">[3] </w:t>
      </w:r>
      <w:r w:rsidR="000E0F53">
        <w:rPr>
          <w:iCs/>
          <w:lang w:val="en-US" w:eastAsia="zh-CN"/>
        </w:rPr>
        <w:fldChar w:fldCharType="end"/>
      </w:r>
      <w:r>
        <w:rPr>
          <w:iCs/>
          <w:lang w:val="en-US" w:eastAsia="zh-CN"/>
        </w:rPr>
        <w:t xml:space="preserve">, the </w:t>
      </w:r>
      <w:r w:rsidRPr="00F15344">
        <w:rPr>
          <w:rFonts w:eastAsia="等线"/>
        </w:rPr>
        <w:t xml:space="preserve">Antenna-gain-to-noise-temperature </w:t>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oMath>
      <w:r w:rsidRPr="00F15344">
        <w:rPr>
          <w:rFonts w:eastAsia="等线"/>
        </w:rPr>
        <w:t xml:space="preserve"> can be derived by</w:t>
      </w:r>
    </w:p>
    <w:p w14:paraId="0C45BA68" w14:textId="01D87596" w:rsidR="00F15344" w:rsidRPr="00F15344" w:rsidRDefault="00F15344" w:rsidP="00F15344">
      <w:pPr>
        <w:keepLines/>
        <w:tabs>
          <w:tab w:val="center" w:pos="4536"/>
          <w:tab w:val="right" w:pos="9639"/>
        </w:tabs>
        <w:spacing w:after="180"/>
        <w:rPr>
          <w:rFonts w:eastAsia="等线"/>
          <w:lang w:val="en-US" w:eastAsia="zh-CN"/>
        </w:rPr>
      </w:pPr>
      <w:r w:rsidRPr="00F15344">
        <w:rPr>
          <w:rFonts w:eastAsia="等线"/>
          <w:lang w:val="en-US" w:eastAsia="zh-CN"/>
        </w:rPr>
        <w:tab/>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d>
          <m:dPr>
            <m:begChr m:val="["/>
            <m:endChr m:val="]"/>
            <m:ctrlPr>
              <w:rPr>
                <w:rFonts w:ascii="Cambria Math" w:hAnsi="Cambria Math"/>
                <w:i/>
                <w:sz w:val="22"/>
                <w:szCs w:val="22"/>
                <w:lang w:eastAsia="zh-CN"/>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sidRPr="00F15344">
        <w:rPr>
          <w:rFonts w:eastAsia="Calibri"/>
          <w:lang w:val="en-US" w:eastAsia="zh-CN"/>
        </w:rPr>
        <w:tab/>
      </w:r>
    </w:p>
    <w:p w14:paraId="1611B436" w14:textId="79755781" w:rsidR="00380B65" w:rsidRDefault="00F15344" w:rsidP="00F15344">
      <w:pPr>
        <w:spacing w:before="120" w:after="120"/>
        <w:rPr>
          <w:rFonts w:eastAsia="等线"/>
        </w:rPr>
      </w:pPr>
      <w:r w:rsidRPr="00F15344">
        <w:rPr>
          <w:rFonts w:eastAsia="等线"/>
        </w:rPr>
        <w:t xml:space="preserve">where </w:t>
      </w:r>
      <m:oMath>
        <m:sSub>
          <m:sSubPr>
            <m:ctrlPr>
              <w:rPr>
                <w:rFonts w:ascii="Cambria Math" w:eastAsia="等线" w:hAnsi="Cambria Math"/>
              </w:rPr>
            </m:ctrlPr>
          </m:sSubPr>
          <m:e>
            <m:r>
              <w:rPr>
                <w:rFonts w:ascii="Cambria Math" w:eastAsia="等线" w:hAnsi="Cambria Math"/>
              </w:rPr>
              <m:t>G</m:t>
            </m:r>
          </m:e>
          <m:sub>
            <m:r>
              <w:rPr>
                <w:rFonts w:ascii="Cambria Math" w:eastAsia="等线" w:hAnsi="Cambria Math"/>
              </w:rPr>
              <m:t>R</m:t>
            </m:r>
          </m:sub>
        </m:sSub>
      </m:oMath>
      <w:r w:rsidRPr="00F15344">
        <w:rPr>
          <w:rFonts w:eastAsia="等线"/>
        </w:rPr>
        <w:t xml:space="preserve"> is receive antenna gain,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f</m:t>
            </m:r>
          </m:sub>
        </m:sSub>
      </m:oMath>
      <w:r w:rsidRPr="00F15344">
        <w:rPr>
          <w:rFonts w:eastAsia="等线"/>
        </w:rPr>
        <w:t xml:space="preserve"> is noise figure, </w:t>
      </w:r>
      <m:oMath>
        <m:sSub>
          <m:sSubPr>
            <m:ctrlPr>
              <w:rPr>
                <w:rFonts w:ascii="Cambria Math" w:eastAsia="等线" w:hAnsi="Cambria Math"/>
              </w:rPr>
            </m:ctrlPr>
          </m:sSubPr>
          <m:e>
            <m:r>
              <w:rPr>
                <w:rFonts w:ascii="Cambria Math" w:eastAsia="等线" w:hAnsi="Cambria Math"/>
              </w:rPr>
              <m:t>T</m:t>
            </m:r>
          </m:e>
          <m:sub>
            <m:r>
              <m:rPr>
                <m:sty m:val="p"/>
              </m:rPr>
              <w:rPr>
                <w:rFonts w:ascii="Cambria Math" w:eastAsia="等线" w:hAnsi="Cambria Math"/>
              </w:rPr>
              <m:t>0</m:t>
            </m:r>
          </m:sub>
        </m:sSub>
      </m:oMath>
      <w:r w:rsidRPr="00F15344">
        <w:rPr>
          <w:rFonts w:eastAsia="等线"/>
        </w:rPr>
        <w:t xml:space="preserve"> is ambient temperature and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a</m:t>
            </m:r>
          </m:sub>
        </m:sSub>
      </m:oMath>
      <w:r w:rsidRPr="00F15344">
        <w:rPr>
          <w:rFonts w:eastAsia="等线"/>
        </w:rPr>
        <w:t xml:space="preserve"> is antenna temperature.</w:t>
      </w:r>
      <w:r w:rsidR="000E0F53">
        <w:rPr>
          <w:rFonts w:eastAsia="等线"/>
        </w:rPr>
        <w:t xml:space="preserve"> In TR 38.821, </w:t>
      </w:r>
      <w:r w:rsidR="00323182">
        <w:rPr>
          <w:rFonts w:eastAsia="等线"/>
        </w:rPr>
        <w:t xml:space="preserve">omnidirectional antenna is </w:t>
      </w:r>
      <w:r w:rsidR="00323182">
        <w:rPr>
          <w:rFonts w:eastAsia="等线"/>
        </w:rPr>
        <w:t xml:space="preserve">assumed </w:t>
      </w:r>
      <w:r w:rsidR="000E0F53">
        <w:rPr>
          <w:rFonts w:eastAsia="等线"/>
        </w:rPr>
        <w:t>for handheld UE in S-band</w:t>
      </w:r>
      <w:r w:rsidR="00323182">
        <w:rPr>
          <w:rFonts w:eastAsia="等线"/>
        </w:rPr>
        <w:t>, where the</w:t>
      </w:r>
      <w:r w:rsidR="000E0F53">
        <w:rPr>
          <w:rFonts w:eastAsia="等线"/>
        </w:rPr>
        <w:t xml:space="preserve"> Rx antenna gain </w:t>
      </w:r>
      <m:oMath>
        <m:sSub>
          <m:sSubPr>
            <m:ctrlPr>
              <w:rPr>
                <w:rFonts w:ascii="Cambria Math" w:eastAsia="等线" w:hAnsi="Cambria Math"/>
              </w:rPr>
            </m:ctrlPr>
          </m:sSubPr>
          <m:e>
            <m:r>
              <w:rPr>
                <w:rFonts w:ascii="Cambria Math" w:eastAsia="等线" w:hAnsi="Cambria Math"/>
              </w:rPr>
              <m:t>G</m:t>
            </m:r>
          </m:e>
          <m:sub>
            <m:r>
              <w:rPr>
                <w:rFonts w:ascii="Cambria Math" w:eastAsia="等线" w:hAnsi="Cambria Math"/>
              </w:rPr>
              <m:t>R</m:t>
            </m:r>
          </m:sub>
        </m:sSub>
        <m:r>
          <m:rPr>
            <m:sty m:val="p"/>
          </m:rPr>
          <w:rPr>
            <w:rFonts w:ascii="Cambria Math" w:eastAsia="等线" w:hAnsi="Cambria Math" w:hint="eastAsia"/>
          </w:rPr>
          <m:t>=</m:t>
        </m:r>
        <m:r>
          <m:rPr>
            <m:sty m:val="p"/>
          </m:rPr>
          <w:rPr>
            <w:rFonts w:ascii="Cambria Math" w:eastAsia="等线" w:hAnsi="Cambria Math"/>
          </w:rPr>
          <m:t>0 dBi</m:t>
        </m:r>
      </m:oMath>
      <w:r w:rsidR="00323182">
        <w:rPr>
          <w:rFonts w:eastAsia="等线"/>
        </w:rPr>
        <w:t xml:space="preserve"> and</w:t>
      </w:r>
      <w:r w:rsidR="000E0F53">
        <w:rPr>
          <w:rFonts w:eastAsia="等线"/>
        </w:rPr>
        <w:t xml:space="preserve"> noise figure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f</m:t>
            </m:r>
          </m:sub>
        </m:sSub>
        <m:r>
          <m:rPr>
            <m:sty m:val="p"/>
          </m:rPr>
          <w:rPr>
            <w:rFonts w:ascii="Cambria Math" w:eastAsia="等线" w:hAnsi="Cambria Math"/>
          </w:rPr>
          <m:t>=</m:t>
        </m:r>
        <m:r>
          <m:rPr>
            <m:sty m:val="p"/>
          </m:rPr>
          <w:rPr>
            <w:rFonts w:ascii="Cambria Math" w:eastAsia="等线" w:hAnsi="Cambria Math"/>
          </w:rPr>
          <m:t>7 dB</m:t>
        </m:r>
      </m:oMath>
      <w:r w:rsidR="000E0F53">
        <w:rPr>
          <w:rFonts w:eastAsia="等线"/>
        </w:rPr>
        <w:t>.</w:t>
      </w:r>
      <w:r w:rsidR="00BB565B">
        <w:rPr>
          <w:rFonts w:eastAsia="等线"/>
        </w:rPr>
        <w:t xml:space="preserve"> Assuming </w:t>
      </w:r>
      <m:oMath>
        <m:sSub>
          <m:sSubPr>
            <m:ctrlPr>
              <w:rPr>
                <w:rFonts w:ascii="Cambria Math" w:eastAsia="等线" w:hAnsi="Cambria Math"/>
              </w:rPr>
            </m:ctrlPr>
          </m:sSubPr>
          <m:e>
            <m:r>
              <w:rPr>
                <w:rFonts w:ascii="Cambria Math" w:eastAsia="等线" w:hAnsi="Cambria Math"/>
              </w:rPr>
              <m:t>T</m:t>
            </m:r>
          </m:e>
          <m:sub>
            <m:r>
              <m:rPr>
                <m:sty m:val="p"/>
              </m:rPr>
              <w:rPr>
                <w:rFonts w:ascii="Cambria Math" w:eastAsia="等线" w:hAnsi="Cambria Math"/>
              </w:rPr>
              <m:t>0</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a</m:t>
            </m:r>
          </m:sub>
        </m:sSub>
        <m:r>
          <m:rPr>
            <m:sty m:val="p"/>
          </m:rPr>
          <w:rPr>
            <w:rFonts w:ascii="Cambria Math" w:eastAsia="等线" w:hAnsi="Cambria Math"/>
          </w:rPr>
          <m:t>=290</m:t>
        </m:r>
        <m:r>
          <w:rPr>
            <w:rFonts w:ascii="Cambria Math" w:eastAsia="等线" w:hAnsi="Cambria Math"/>
          </w:rPr>
          <m:t>K</m:t>
        </m:r>
      </m:oMath>
      <w:r w:rsidR="00BB565B">
        <w:rPr>
          <w:rFonts w:eastAsia="等线"/>
        </w:rPr>
        <w:t xml:space="preserve">, </w:t>
      </w:r>
      <w:r w:rsidR="00165F91">
        <w:rPr>
          <w:rFonts w:eastAsia="等线"/>
        </w:rPr>
        <w:t xml:space="preserve">the </w:t>
      </w:r>
      <w:r w:rsidR="00165F91" w:rsidRPr="00F15344">
        <w:rPr>
          <w:rFonts w:eastAsia="等线"/>
        </w:rPr>
        <w:t>Antenna-gain-to-noise-temperature</w:t>
      </w:r>
      <w:r w:rsidR="00165F91">
        <w:rPr>
          <w:rFonts w:eastAsia="等线"/>
        </w:rPr>
        <w:t xml:space="preserve"> can be calculated as </w:t>
      </w:r>
      <w:r w:rsidR="00165F91">
        <w:rPr>
          <w:rFonts w:eastAsia="等线"/>
        </w:rPr>
        <w:t xml:space="preserve">G/T </w:t>
      </w:r>
      <w:r w:rsidR="00165F91">
        <w:rPr>
          <w:rFonts w:eastAsia="等线"/>
        </w:rPr>
        <w:t>=-31.6</w:t>
      </w:r>
      <w:r w:rsidR="00E72A52" w:rsidRPr="00E72A52">
        <w:t xml:space="preserve"> </w:t>
      </w:r>
      <w:r w:rsidR="00E72A52" w:rsidRPr="00E72A52">
        <w:rPr>
          <w:rFonts w:eastAsia="等线"/>
        </w:rPr>
        <w:t>dB/K</w:t>
      </w:r>
      <w:r w:rsidR="00165F91">
        <w:rPr>
          <w:rFonts w:eastAsia="等线"/>
        </w:rPr>
        <w:t xml:space="preserve"> according to above formula.</w:t>
      </w:r>
    </w:p>
    <w:p w14:paraId="38DDB342" w14:textId="5CD473D4" w:rsidR="00F15344" w:rsidRDefault="00973838" w:rsidP="00F15344">
      <w:pPr>
        <w:spacing w:before="120" w:after="120"/>
        <w:rPr>
          <w:rFonts w:hint="eastAsia"/>
          <w:iCs/>
          <w:lang w:val="en-US" w:eastAsia="zh-CN"/>
        </w:rPr>
      </w:pPr>
      <w:r>
        <w:rPr>
          <w:rFonts w:hint="eastAsia"/>
          <w:iCs/>
          <w:lang w:val="en-US" w:eastAsia="zh-CN"/>
        </w:rPr>
        <w:t>I</w:t>
      </w:r>
      <w:r>
        <w:rPr>
          <w:iCs/>
          <w:lang w:val="en-US" w:eastAsia="zh-CN"/>
        </w:rPr>
        <w:t>n TR 36.763, the IoT antenna type is</w:t>
      </w:r>
      <w:r w:rsidR="0060756F">
        <w:rPr>
          <w:iCs/>
          <w:lang w:val="en-US" w:eastAsia="zh-CN"/>
        </w:rPr>
        <w:t xml:space="preserve"> </w:t>
      </w:r>
      <w:r w:rsidR="000E0F53">
        <w:rPr>
          <w:iCs/>
          <w:lang w:val="en-US" w:eastAsia="zh-CN"/>
        </w:rPr>
        <w:t>o</w:t>
      </w:r>
      <w:r w:rsidR="0060756F" w:rsidRPr="0060756F">
        <w:rPr>
          <w:iCs/>
          <w:lang w:val="en-US" w:eastAsia="zh-CN"/>
        </w:rPr>
        <w:t xml:space="preserve">mnidirectional antenna with 0 </w:t>
      </w:r>
      <w:proofErr w:type="spellStart"/>
      <w:r w:rsidR="0060756F" w:rsidRPr="0060756F">
        <w:rPr>
          <w:iCs/>
          <w:lang w:val="en-US" w:eastAsia="zh-CN"/>
        </w:rPr>
        <w:t>dBi</w:t>
      </w:r>
      <w:proofErr w:type="spellEnd"/>
      <w:r w:rsidR="0060756F" w:rsidRPr="0060756F">
        <w:rPr>
          <w:iCs/>
          <w:lang w:val="en-US" w:eastAsia="zh-CN"/>
        </w:rPr>
        <w:t xml:space="preserve"> TX antenna gain and 0 </w:t>
      </w:r>
      <w:proofErr w:type="spellStart"/>
      <w:r w:rsidR="0060756F" w:rsidRPr="0060756F">
        <w:rPr>
          <w:iCs/>
          <w:lang w:val="en-US" w:eastAsia="zh-CN"/>
        </w:rPr>
        <w:t>dBi</w:t>
      </w:r>
      <w:proofErr w:type="spellEnd"/>
      <w:r w:rsidR="0060756F" w:rsidRPr="0060756F">
        <w:rPr>
          <w:iCs/>
          <w:lang w:val="en-US" w:eastAsia="zh-CN"/>
        </w:rPr>
        <w:t xml:space="preserve"> RX antenna gain</w:t>
      </w:r>
      <w:r w:rsidR="000E0F53">
        <w:rPr>
          <w:iCs/>
          <w:lang w:val="en-US" w:eastAsia="zh-CN"/>
        </w:rPr>
        <w:t xml:space="preserve"> </w:t>
      </w:r>
      <w:r w:rsidR="000E0F53">
        <w:rPr>
          <w:iCs/>
          <w:lang w:val="en-US" w:eastAsia="zh-CN"/>
        </w:rPr>
        <w:fldChar w:fldCharType="begin"/>
      </w:r>
      <w:r w:rsidR="000E0F53">
        <w:rPr>
          <w:iCs/>
          <w:lang w:val="en-US" w:eastAsia="zh-CN"/>
        </w:rPr>
        <w:instrText xml:space="preserve"> REF _Ref206071988 \w \h </w:instrText>
      </w:r>
      <w:r w:rsidR="000E0F53">
        <w:rPr>
          <w:iCs/>
          <w:lang w:val="en-US" w:eastAsia="zh-CN"/>
        </w:rPr>
      </w:r>
      <w:r w:rsidR="000E0F53">
        <w:rPr>
          <w:iCs/>
          <w:lang w:val="en-US" w:eastAsia="zh-CN"/>
        </w:rPr>
        <w:fldChar w:fldCharType="separate"/>
      </w:r>
      <w:r w:rsidR="000E0F53">
        <w:rPr>
          <w:iCs/>
          <w:lang w:val="en-US" w:eastAsia="zh-CN"/>
        </w:rPr>
        <w:t xml:space="preserve">[4] </w:t>
      </w:r>
      <w:r w:rsidR="000E0F53">
        <w:rPr>
          <w:iCs/>
          <w:lang w:val="en-US" w:eastAsia="zh-CN"/>
        </w:rPr>
        <w:fldChar w:fldCharType="end"/>
      </w:r>
      <w:r w:rsidR="000E0F53">
        <w:rPr>
          <w:iCs/>
          <w:lang w:val="en-US" w:eastAsia="zh-CN"/>
        </w:rPr>
        <w:t xml:space="preserve">. </w:t>
      </w:r>
      <w:r w:rsidR="00165F91">
        <w:rPr>
          <w:iCs/>
          <w:lang w:val="en-US" w:eastAsia="zh-CN"/>
        </w:rPr>
        <w:t>Moreover,</w:t>
      </w:r>
      <w:r w:rsidR="000E0F53">
        <w:rPr>
          <w:iCs/>
          <w:lang w:val="en-US" w:eastAsia="zh-CN"/>
        </w:rPr>
        <w:t xml:space="preserve"> </w:t>
      </w:r>
      <w:r w:rsidR="00165F91" w:rsidRPr="00165F91">
        <w:rPr>
          <w:iCs/>
          <w:lang w:val="en-US" w:eastAsia="zh-CN"/>
        </w:rPr>
        <w:t>PC3 (23 dBm) for UL and NF=7 dB for DL are used in link budget analysis</w:t>
      </w:r>
      <w:r w:rsidR="00165F91">
        <w:rPr>
          <w:iCs/>
          <w:lang w:val="en-US" w:eastAsia="zh-CN"/>
        </w:rPr>
        <w:t xml:space="preserve">. Hence, a baseline </w:t>
      </w:r>
      <w:r w:rsidR="00165F91">
        <w:rPr>
          <w:iCs/>
          <w:lang w:val="en-US" w:eastAsia="zh-CN"/>
        </w:rPr>
        <w:lastRenderedPageBreak/>
        <w:t>assumption can be G/T=-31.6</w:t>
      </w:r>
      <w:r w:rsidR="00E72A52" w:rsidRPr="00E72A52">
        <w:t xml:space="preserve"> </w:t>
      </w:r>
      <w:r w:rsidR="00E72A52" w:rsidRPr="00E72A52">
        <w:rPr>
          <w:rFonts w:eastAsia="等线"/>
        </w:rPr>
        <w:t>dB/K</w:t>
      </w:r>
      <w:r w:rsidR="00E72A52">
        <w:rPr>
          <w:rFonts w:eastAsia="等线"/>
        </w:rPr>
        <w:t>, which is determined</w:t>
      </w:r>
      <w:r w:rsidR="00165F91">
        <w:rPr>
          <w:iCs/>
          <w:lang w:val="en-US" w:eastAsia="zh-CN"/>
        </w:rPr>
        <w:t xml:space="preserve"> based on 0 </w:t>
      </w:r>
      <w:proofErr w:type="spellStart"/>
      <w:r w:rsidR="00165F91">
        <w:rPr>
          <w:iCs/>
          <w:lang w:val="en-US" w:eastAsia="zh-CN"/>
        </w:rPr>
        <w:t>dBi</w:t>
      </w:r>
      <w:proofErr w:type="spellEnd"/>
      <w:r w:rsidR="00165F91">
        <w:rPr>
          <w:iCs/>
          <w:lang w:val="en-US" w:eastAsia="zh-CN"/>
        </w:rPr>
        <w:t xml:space="preserve"> antenna gain and 7dB noise figure. Moreover</w:t>
      </w:r>
      <w:r w:rsidR="00E72A52">
        <w:rPr>
          <w:iCs/>
          <w:lang w:val="en-US" w:eastAsia="zh-CN"/>
        </w:rPr>
        <w:t xml:space="preserve">, </w:t>
      </w:r>
      <w:r w:rsidR="00A7361F">
        <w:rPr>
          <w:iCs/>
          <w:lang w:val="en-US" w:eastAsia="zh-CN"/>
        </w:rPr>
        <w:t xml:space="preserve">current </w:t>
      </w:r>
      <w:r w:rsidR="00323182">
        <w:rPr>
          <w:iCs/>
          <w:lang w:val="en-US" w:eastAsia="zh-CN"/>
        </w:rPr>
        <w:t>commercial</w:t>
      </w:r>
      <w:r w:rsidR="00E72A52">
        <w:rPr>
          <w:iCs/>
          <w:lang w:val="en-US" w:eastAsia="zh-CN"/>
        </w:rPr>
        <w:t xml:space="preserve"> IoT device is able to achieve a higher G/T=-28.6</w:t>
      </w:r>
      <w:r w:rsidR="00E72A52" w:rsidRPr="00E72A52">
        <w:t xml:space="preserve"> </w:t>
      </w:r>
      <w:r w:rsidR="00E72A52" w:rsidRPr="00E72A52">
        <w:rPr>
          <w:rFonts w:eastAsia="等线"/>
        </w:rPr>
        <w:t>dB/K</w:t>
      </w:r>
      <w:r w:rsidR="00E72A52">
        <w:rPr>
          <w:rFonts w:eastAsia="等线"/>
        </w:rPr>
        <w:t>, which can also be considered in simulation.</w:t>
      </w:r>
    </w:p>
    <w:p w14:paraId="58247490" w14:textId="6896E71A" w:rsidR="00323182" w:rsidRDefault="00562B0A" w:rsidP="00562B0A">
      <w:pPr>
        <w:spacing w:before="120"/>
        <w:rPr>
          <w:i/>
          <w:iCs/>
          <w:lang w:val="en-US" w:eastAsia="zh-CN"/>
        </w:rPr>
      </w:pPr>
      <w:r>
        <w:rPr>
          <w:b/>
          <w:bCs/>
          <w:i/>
          <w:iCs/>
          <w:lang w:eastAsia="zh-CN"/>
        </w:rPr>
        <w:t xml:space="preserve">Proposal </w:t>
      </w:r>
      <w:r w:rsidR="009465FB">
        <w:rPr>
          <w:b/>
          <w:bCs/>
          <w:i/>
          <w:iCs/>
          <w:lang w:val="en-US" w:eastAsia="zh-CN"/>
        </w:rPr>
        <w:t>2</w:t>
      </w:r>
      <w:r>
        <w:rPr>
          <w:rFonts w:hint="eastAsia"/>
          <w:b/>
          <w:bCs/>
          <w:i/>
          <w:iCs/>
          <w:lang w:eastAsia="zh-CN"/>
        </w:rPr>
        <w:t>:</w:t>
      </w:r>
      <w:r>
        <w:rPr>
          <w:b/>
          <w:bCs/>
          <w:i/>
          <w:iCs/>
          <w:lang w:eastAsia="zh-CN"/>
        </w:rPr>
        <w:t xml:space="preserve"> </w:t>
      </w:r>
      <w:r w:rsidR="00E72A52">
        <w:rPr>
          <w:i/>
          <w:iCs/>
          <w:lang w:val="en-US" w:eastAsia="zh-CN"/>
        </w:rPr>
        <w:t xml:space="preserve">RAN1 </w:t>
      </w:r>
      <w:r w:rsidR="00323182">
        <w:rPr>
          <w:i/>
          <w:iCs/>
          <w:lang w:val="en-US" w:eastAsia="zh-CN"/>
        </w:rPr>
        <w:t>reply</w:t>
      </w:r>
      <w:r w:rsidR="00E72A52">
        <w:rPr>
          <w:i/>
          <w:iCs/>
          <w:lang w:val="en-US" w:eastAsia="zh-CN"/>
        </w:rPr>
        <w:t xml:space="preserve"> SA4 that </w:t>
      </w:r>
      <w:r w:rsidR="00E72A52">
        <w:rPr>
          <w:i/>
          <w:iCs/>
          <w:lang w:val="en-US" w:eastAsia="zh-CN"/>
        </w:rPr>
        <w:t xml:space="preserve">the </w:t>
      </w:r>
      <w:r w:rsidR="00E72A52" w:rsidRPr="00E72A52">
        <w:rPr>
          <w:i/>
          <w:iCs/>
          <w:lang w:val="en-US" w:eastAsia="zh-CN"/>
        </w:rPr>
        <w:t xml:space="preserve">value </w:t>
      </w:r>
      <w:r w:rsidR="00E72A52" w:rsidRPr="00E72A52">
        <w:rPr>
          <w:i/>
          <w:iCs/>
          <w:lang w:val="en-US" w:eastAsia="zh-CN"/>
        </w:rPr>
        <w:t>G/T=-31.6</w:t>
      </w:r>
      <w:r w:rsidR="00E72A52" w:rsidRPr="00E72A52">
        <w:rPr>
          <w:i/>
        </w:rPr>
        <w:t xml:space="preserve"> </w:t>
      </w:r>
      <w:r w:rsidR="00E72A52" w:rsidRPr="00E72A52">
        <w:rPr>
          <w:rFonts w:eastAsia="等线"/>
          <w:i/>
        </w:rPr>
        <w:t>dB/K</w:t>
      </w:r>
      <w:r w:rsidR="00E72A52" w:rsidRPr="00E72A52">
        <w:rPr>
          <w:i/>
          <w:iCs/>
          <w:lang w:val="en-US" w:eastAsia="zh-CN"/>
        </w:rPr>
        <w:t xml:space="preserve"> </w:t>
      </w:r>
      <w:r w:rsidR="00323182">
        <w:rPr>
          <w:i/>
          <w:iCs/>
          <w:lang w:val="en-US" w:eastAsia="zh-CN"/>
        </w:rPr>
        <w:t xml:space="preserve">in TR 38.821 </w:t>
      </w:r>
      <w:r w:rsidR="00E72A52" w:rsidRPr="00E72A52">
        <w:rPr>
          <w:i/>
          <w:iCs/>
          <w:lang w:val="en-US" w:eastAsia="zh-CN"/>
        </w:rPr>
        <w:t>is</w:t>
      </w:r>
      <w:r w:rsidR="00E72A52">
        <w:rPr>
          <w:i/>
          <w:iCs/>
          <w:lang w:val="en-US" w:eastAsia="zh-CN"/>
        </w:rPr>
        <w:t xml:space="preserve"> determined based on assumption of </w:t>
      </w:r>
      <w:r w:rsidR="00323182">
        <w:rPr>
          <w:i/>
          <w:iCs/>
          <w:lang w:val="en-US" w:eastAsia="zh-CN"/>
        </w:rPr>
        <w:t xml:space="preserve">omnidirectional antenna with </w:t>
      </w:r>
      <w:r w:rsidR="00E72A52">
        <w:rPr>
          <w:i/>
          <w:iCs/>
          <w:lang w:val="en-US" w:eastAsia="zh-CN"/>
        </w:rPr>
        <w:t xml:space="preserve">0 </w:t>
      </w:r>
      <w:proofErr w:type="spellStart"/>
      <w:r w:rsidR="00E72A52">
        <w:rPr>
          <w:i/>
          <w:iCs/>
          <w:lang w:val="en-US" w:eastAsia="zh-CN"/>
        </w:rPr>
        <w:t>dBi</w:t>
      </w:r>
      <w:proofErr w:type="spellEnd"/>
      <w:r w:rsidR="00E72A52">
        <w:rPr>
          <w:i/>
          <w:iCs/>
          <w:lang w:val="en-US" w:eastAsia="zh-CN"/>
        </w:rPr>
        <w:t xml:space="preserve"> antenna gain and 7 dB noise figure</w:t>
      </w:r>
      <w:r w:rsidRPr="00E72A52">
        <w:rPr>
          <w:i/>
          <w:iCs/>
          <w:lang w:val="en-US" w:eastAsia="zh-CN"/>
        </w:rPr>
        <w:t>.</w:t>
      </w:r>
    </w:p>
    <w:p w14:paraId="002CBAB3" w14:textId="26C5D4CE" w:rsidR="00323182" w:rsidRPr="00323182" w:rsidRDefault="00323182" w:rsidP="00562B0A">
      <w:pPr>
        <w:spacing w:before="120"/>
        <w:rPr>
          <w:rFonts w:hint="eastAsia"/>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 xml:space="preserve">RAN1 reply SA4 that </w:t>
      </w:r>
      <w:r>
        <w:rPr>
          <w:i/>
          <w:iCs/>
          <w:lang w:val="en-US" w:eastAsia="zh-CN"/>
        </w:rPr>
        <w:t xml:space="preserve">for IoT-NTN, </w:t>
      </w:r>
      <w:r w:rsidRPr="00E72A52">
        <w:rPr>
          <w:i/>
          <w:iCs/>
          <w:lang w:val="en-US" w:eastAsia="zh-CN"/>
        </w:rPr>
        <w:t>G/T=-31.6</w:t>
      </w:r>
      <w:r w:rsidRPr="00E72A52">
        <w:rPr>
          <w:i/>
        </w:rPr>
        <w:t xml:space="preserve"> </w:t>
      </w:r>
      <w:r w:rsidRPr="00E72A52">
        <w:rPr>
          <w:rFonts w:eastAsia="等线"/>
          <w:i/>
        </w:rPr>
        <w:t>dB/K</w:t>
      </w:r>
      <w:r w:rsidRPr="00E72A52">
        <w:rPr>
          <w:i/>
          <w:iCs/>
          <w:lang w:val="en-US" w:eastAsia="zh-CN"/>
        </w:rPr>
        <w:t xml:space="preserve"> </w:t>
      </w:r>
      <w:r>
        <w:rPr>
          <w:i/>
          <w:iCs/>
          <w:lang w:val="en-US" w:eastAsia="zh-CN"/>
        </w:rPr>
        <w:t>can be considered if assumption in TR 36.763 is baseline. Moreo</w:t>
      </w:r>
      <w:r w:rsidRPr="00323182">
        <w:rPr>
          <w:i/>
          <w:iCs/>
          <w:lang w:val="en-US" w:eastAsia="zh-CN"/>
        </w:rPr>
        <w:t xml:space="preserve">ver, </w:t>
      </w:r>
      <w:r w:rsidRPr="00323182">
        <w:rPr>
          <w:i/>
          <w:iCs/>
          <w:lang w:val="en-US" w:eastAsia="zh-CN"/>
        </w:rPr>
        <w:t>G/T=-28.6</w:t>
      </w:r>
      <w:r w:rsidRPr="00323182">
        <w:rPr>
          <w:i/>
        </w:rPr>
        <w:t xml:space="preserve"> </w:t>
      </w:r>
      <w:r w:rsidRPr="00323182">
        <w:rPr>
          <w:rFonts w:eastAsia="等线"/>
          <w:i/>
        </w:rPr>
        <w:t>dB/K</w:t>
      </w:r>
      <w:r w:rsidRPr="00323182">
        <w:rPr>
          <w:rFonts w:eastAsia="等线"/>
          <w:i/>
        </w:rPr>
        <w:t xml:space="preserve"> can also be considered for simulation to reflect the capability of </w:t>
      </w:r>
      <w:r w:rsidR="00A7361F">
        <w:rPr>
          <w:rFonts w:eastAsia="等线"/>
          <w:i/>
        </w:rPr>
        <w:t>current</w:t>
      </w:r>
      <w:r w:rsidRPr="00323182">
        <w:rPr>
          <w:rFonts w:eastAsia="等线"/>
          <w:i/>
        </w:rPr>
        <w:t xml:space="preserve"> commercial IoT device.</w:t>
      </w:r>
    </w:p>
    <w:p w14:paraId="5EA7E66D" w14:textId="77777777" w:rsidR="00147D48" w:rsidRDefault="00A84CF7">
      <w:pPr>
        <w:pStyle w:val="1"/>
        <w:pBdr>
          <w:top w:val="single" w:sz="12" w:space="0" w:color="auto"/>
        </w:pBdr>
      </w:pPr>
      <w:r>
        <w:rPr>
          <w:rFonts w:hint="eastAsia"/>
        </w:rPr>
        <w:t>C</w:t>
      </w:r>
      <w:r>
        <w:t>onclusion</w:t>
      </w:r>
    </w:p>
    <w:p w14:paraId="6A3FC96C" w14:textId="44AB6CAB"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0F658044" w14:textId="77777777" w:rsidR="0062705C" w:rsidRDefault="0062705C" w:rsidP="0062705C">
      <w:pPr>
        <w:spacing w:before="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RAN1 reply SA4 that UE is not required to monitor NPDCCH within the interval between DL NPDCCH and NPDSCH for single HARQ scenario</w:t>
      </w:r>
      <w:r>
        <w:rPr>
          <w:rFonts w:eastAsia="等线"/>
          <w:i/>
        </w:rPr>
        <w:t>. The example frame structure for dynamic scheduling is not applicable to the scenario where single HARQ process is used.</w:t>
      </w:r>
    </w:p>
    <w:p w14:paraId="1852BDAC" w14:textId="77777777" w:rsidR="00A7361F" w:rsidRDefault="00A7361F" w:rsidP="00A7361F">
      <w:pPr>
        <w:spacing w:before="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 xml:space="preserve">RAN1 reply SA4 that the </w:t>
      </w:r>
      <w:r w:rsidRPr="00E72A52">
        <w:rPr>
          <w:i/>
          <w:iCs/>
          <w:lang w:val="en-US" w:eastAsia="zh-CN"/>
        </w:rPr>
        <w:t>value G/T=-31.6</w:t>
      </w:r>
      <w:r w:rsidRPr="00E72A52">
        <w:rPr>
          <w:i/>
        </w:rPr>
        <w:t xml:space="preserve"> </w:t>
      </w:r>
      <w:r w:rsidRPr="00E72A52">
        <w:rPr>
          <w:rFonts w:eastAsia="等线"/>
          <w:i/>
        </w:rPr>
        <w:t>dB/K</w:t>
      </w:r>
      <w:r w:rsidRPr="00E72A52">
        <w:rPr>
          <w:i/>
          <w:iCs/>
          <w:lang w:val="en-US" w:eastAsia="zh-CN"/>
        </w:rPr>
        <w:t xml:space="preserve"> </w:t>
      </w:r>
      <w:r>
        <w:rPr>
          <w:i/>
          <w:iCs/>
          <w:lang w:val="en-US" w:eastAsia="zh-CN"/>
        </w:rPr>
        <w:t xml:space="preserve">in TR 38.821 </w:t>
      </w:r>
      <w:r w:rsidRPr="00E72A52">
        <w:rPr>
          <w:i/>
          <w:iCs/>
          <w:lang w:val="en-US" w:eastAsia="zh-CN"/>
        </w:rPr>
        <w:t>is</w:t>
      </w:r>
      <w:r>
        <w:rPr>
          <w:i/>
          <w:iCs/>
          <w:lang w:val="en-US" w:eastAsia="zh-CN"/>
        </w:rPr>
        <w:t xml:space="preserve"> determined based on assumption of omnidirectional antenna with 0 </w:t>
      </w:r>
      <w:proofErr w:type="spellStart"/>
      <w:r>
        <w:rPr>
          <w:i/>
          <w:iCs/>
          <w:lang w:val="en-US" w:eastAsia="zh-CN"/>
        </w:rPr>
        <w:t>dBi</w:t>
      </w:r>
      <w:proofErr w:type="spellEnd"/>
      <w:r>
        <w:rPr>
          <w:i/>
          <w:iCs/>
          <w:lang w:val="en-US" w:eastAsia="zh-CN"/>
        </w:rPr>
        <w:t xml:space="preserve"> antenna gain and 7 dB noise figure</w:t>
      </w:r>
      <w:r w:rsidRPr="00E72A52">
        <w:rPr>
          <w:i/>
          <w:iCs/>
          <w:lang w:val="en-US" w:eastAsia="zh-CN"/>
        </w:rPr>
        <w:t>.</w:t>
      </w:r>
    </w:p>
    <w:p w14:paraId="65841CD3" w14:textId="5E95B511" w:rsidR="00A7361F" w:rsidRPr="00A7361F" w:rsidRDefault="00A7361F" w:rsidP="00A7361F">
      <w:pPr>
        <w:spacing w:before="120"/>
        <w:rPr>
          <w:rFonts w:hint="eastAsia"/>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 xml:space="preserve">RAN1 reply SA4 that for IoT-NTN, </w:t>
      </w:r>
      <w:r w:rsidRPr="00E72A52">
        <w:rPr>
          <w:i/>
          <w:iCs/>
          <w:lang w:val="en-US" w:eastAsia="zh-CN"/>
        </w:rPr>
        <w:t>G/T=-31.6</w:t>
      </w:r>
      <w:r w:rsidRPr="00E72A52">
        <w:rPr>
          <w:i/>
        </w:rPr>
        <w:t xml:space="preserve"> </w:t>
      </w:r>
      <w:r w:rsidRPr="00E72A52">
        <w:rPr>
          <w:rFonts w:eastAsia="等线"/>
          <w:i/>
        </w:rPr>
        <w:t>dB/K</w:t>
      </w:r>
      <w:r w:rsidRPr="00E72A52">
        <w:rPr>
          <w:i/>
          <w:iCs/>
          <w:lang w:val="en-US" w:eastAsia="zh-CN"/>
        </w:rPr>
        <w:t xml:space="preserve"> </w:t>
      </w:r>
      <w:r>
        <w:rPr>
          <w:i/>
          <w:iCs/>
          <w:lang w:val="en-US" w:eastAsia="zh-CN"/>
        </w:rPr>
        <w:t>can be considered if assumption in TR 36.763 is baseline. Moreo</w:t>
      </w:r>
      <w:r w:rsidRPr="00323182">
        <w:rPr>
          <w:i/>
          <w:iCs/>
          <w:lang w:val="en-US" w:eastAsia="zh-CN"/>
        </w:rPr>
        <w:t>ver, G/T=-28.6</w:t>
      </w:r>
      <w:r w:rsidRPr="00323182">
        <w:rPr>
          <w:i/>
        </w:rPr>
        <w:t xml:space="preserve"> </w:t>
      </w:r>
      <w:r w:rsidRPr="00323182">
        <w:rPr>
          <w:rFonts w:eastAsia="等线"/>
          <w:i/>
        </w:rPr>
        <w:t xml:space="preserve">dB/K can also be considered for simulation to reflect the capability of </w:t>
      </w:r>
      <w:r>
        <w:rPr>
          <w:rFonts w:eastAsia="等线"/>
          <w:i/>
        </w:rPr>
        <w:t>current</w:t>
      </w:r>
      <w:r w:rsidRPr="00323182">
        <w:rPr>
          <w:rFonts w:eastAsia="等线"/>
          <w:i/>
        </w:rPr>
        <w:t xml:space="preserve"> commercial IoT device.</w:t>
      </w:r>
    </w:p>
    <w:p w14:paraId="4E6C5B5D" w14:textId="77777777" w:rsidR="00147D48" w:rsidRDefault="00A84CF7">
      <w:pPr>
        <w:pStyle w:val="1"/>
        <w:pBdr>
          <w:top w:val="single" w:sz="12" w:space="0" w:color="auto"/>
        </w:pBdr>
      </w:pPr>
      <w:r>
        <w:rPr>
          <w:rFonts w:hint="eastAsia"/>
        </w:rPr>
        <w:t>R</w:t>
      </w:r>
      <w:r>
        <w:t>eference</w:t>
      </w:r>
    </w:p>
    <w:p w14:paraId="456CAE2D" w14:textId="46B7FD2A" w:rsidR="008834C5" w:rsidRPr="008834C5" w:rsidRDefault="006B3EDA">
      <w:pPr>
        <w:pStyle w:val="aff5"/>
        <w:numPr>
          <w:ilvl w:val="0"/>
          <w:numId w:val="15"/>
        </w:numPr>
        <w:rPr>
          <w:lang w:val="en-US" w:eastAsia="zh-CN"/>
        </w:rPr>
      </w:pPr>
      <w:bookmarkStart w:id="5" w:name="_Ref197591232"/>
      <w:r w:rsidRPr="006B3EDA">
        <w:rPr>
          <w:lang w:val="en-US" w:eastAsia="zh-CN"/>
        </w:rPr>
        <w:t>RP-251867</w:t>
      </w:r>
      <w:r w:rsidR="008834C5" w:rsidRPr="008834C5">
        <w:rPr>
          <w:lang w:val="en-US" w:eastAsia="zh-CN"/>
        </w:rPr>
        <w:t>,</w:t>
      </w:r>
      <w:bookmarkStart w:id="6" w:name="OLE_LINK11"/>
      <w:bookmarkStart w:id="7" w:name="OLE_LINK12"/>
      <w:r w:rsidR="008834C5" w:rsidRPr="008834C5">
        <w:rPr>
          <w:lang w:val="en-US" w:eastAsia="zh-CN"/>
        </w:rPr>
        <w:t xml:space="preserve"> </w:t>
      </w:r>
      <w:bookmarkEnd w:id="5"/>
      <w:bookmarkEnd w:id="6"/>
      <w:bookmarkEnd w:id="7"/>
      <w:r w:rsidRPr="006B3EDA">
        <w:rPr>
          <w:lang w:val="en-US" w:eastAsia="zh-CN"/>
        </w:rPr>
        <w:t>New WID on Non-Terrestrial Networks (NTN) for Internet of Things (IoT) Phase 4</w:t>
      </w:r>
    </w:p>
    <w:p w14:paraId="6DC3A8D9" w14:textId="71A2A473" w:rsidR="00147D48" w:rsidRDefault="006B3EDA" w:rsidP="006B3EDA">
      <w:pPr>
        <w:pStyle w:val="aff5"/>
        <w:numPr>
          <w:ilvl w:val="0"/>
          <w:numId w:val="15"/>
        </w:numPr>
        <w:rPr>
          <w:lang w:val="en-US" w:eastAsia="zh-CN"/>
        </w:rPr>
      </w:pPr>
      <w:bookmarkStart w:id="8" w:name="_Ref197423321"/>
      <w:bookmarkStart w:id="9" w:name="_Ref197591315"/>
      <w:r w:rsidRPr="006B3EDA">
        <w:rPr>
          <w:lang w:val="en-US" w:eastAsia="zh-CN"/>
        </w:rPr>
        <w:t>R1-2505140</w:t>
      </w:r>
      <w:r w:rsidR="00540534">
        <w:rPr>
          <w:lang w:val="en-US" w:eastAsia="zh-CN"/>
        </w:rPr>
        <w:t>,</w:t>
      </w:r>
      <w:r w:rsidR="00540534">
        <w:rPr>
          <w:rFonts w:hint="eastAsia"/>
          <w:lang w:val="en-US" w:eastAsia="zh-CN"/>
        </w:rPr>
        <w:t xml:space="preserve"> </w:t>
      </w:r>
      <w:r w:rsidRPr="006B3EDA">
        <w:rPr>
          <w:lang w:val="en-US" w:eastAsia="zh-CN"/>
        </w:rPr>
        <w:t>LS on the RAN simulation assumptions for ULBC</w:t>
      </w:r>
      <w:r w:rsidR="00552859">
        <w:rPr>
          <w:lang w:val="en-US" w:eastAsia="zh-CN"/>
        </w:rPr>
        <w:t xml:space="preserve">, </w:t>
      </w:r>
      <w:r w:rsidR="00540534">
        <w:rPr>
          <w:rFonts w:hint="eastAsia"/>
          <w:lang w:val="en-US" w:eastAsia="zh-CN"/>
        </w:rPr>
        <w:t>RAN</w:t>
      </w:r>
      <w:r w:rsidR="00540534">
        <w:rPr>
          <w:lang w:val="en-US" w:eastAsia="zh-CN"/>
        </w:rPr>
        <w:t>1#12</w:t>
      </w:r>
      <w:bookmarkEnd w:id="8"/>
      <w:bookmarkEnd w:id="9"/>
      <w:r>
        <w:rPr>
          <w:lang w:val="en-US" w:eastAsia="zh-CN"/>
        </w:rPr>
        <w:t>2</w:t>
      </w:r>
    </w:p>
    <w:p w14:paraId="078BBA41" w14:textId="628A365A" w:rsidR="000E0F53" w:rsidRDefault="000E0F53" w:rsidP="006B3EDA">
      <w:pPr>
        <w:pStyle w:val="aff5"/>
        <w:numPr>
          <w:ilvl w:val="0"/>
          <w:numId w:val="15"/>
        </w:numPr>
        <w:rPr>
          <w:lang w:val="en-US" w:eastAsia="zh-CN"/>
        </w:rPr>
      </w:pPr>
      <w:bookmarkStart w:id="10" w:name="_Ref206071979"/>
      <w:r w:rsidRPr="000E0F53">
        <w:rPr>
          <w:lang w:val="en-US" w:eastAsia="zh-CN"/>
        </w:rPr>
        <w:t>3GPP TR 38.821</w:t>
      </w:r>
      <w:r>
        <w:rPr>
          <w:lang w:val="en-US" w:eastAsia="zh-CN"/>
        </w:rPr>
        <w:t xml:space="preserve">, </w:t>
      </w:r>
      <w:r w:rsidRPr="000E0F53">
        <w:rPr>
          <w:lang w:val="en-US" w:eastAsia="zh-CN"/>
        </w:rPr>
        <w:t>Solutions for NR to support non-terrestrial networks (NTN)</w:t>
      </w:r>
      <w:bookmarkEnd w:id="10"/>
    </w:p>
    <w:p w14:paraId="6B53F368" w14:textId="5D123814" w:rsidR="000E0F53" w:rsidRPr="000E0F53" w:rsidRDefault="000E0F53" w:rsidP="000E0F53">
      <w:pPr>
        <w:pStyle w:val="aff5"/>
        <w:numPr>
          <w:ilvl w:val="0"/>
          <w:numId w:val="15"/>
        </w:numPr>
        <w:rPr>
          <w:rFonts w:hint="eastAsia"/>
          <w:lang w:val="en-US" w:eastAsia="zh-CN"/>
        </w:rPr>
      </w:pPr>
      <w:bookmarkStart w:id="11" w:name="_Ref206071988"/>
      <w:r w:rsidRPr="000E0F53">
        <w:rPr>
          <w:lang w:val="en-US" w:eastAsia="zh-CN"/>
        </w:rPr>
        <w:t>3GPP TR 3</w:t>
      </w:r>
      <w:r>
        <w:rPr>
          <w:lang w:val="en-US" w:eastAsia="zh-CN"/>
        </w:rPr>
        <w:t>6</w:t>
      </w:r>
      <w:r w:rsidRPr="000E0F53">
        <w:rPr>
          <w:lang w:val="en-US" w:eastAsia="zh-CN"/>
        </w:rPr>
        <w:t>.</w:t>
      </w:r>
      <w:r>
        <w:rPr>
          <w:lang w:val="en-US" w:eastAsia="zh-CN"/>
        </w:rPr>
        <w:t>763</w:t>
      </w:r>
      <w:r>
        <w:rPr>
          <w:lang w:val="en-US" w:eastAsia="zh-CN"/>
        </w:rPr>
        <w:t xml:space="preserve">, </w:t>
      </w:r>
      <w:r w:rsidRPr="000E0F53">
        <w:rPr>
          <w:lang w:val="en-US" w:eastAsia="zh-CN"/>
        </w:rPr>
        <w:t>Study on Narrow-Band Internet of Things (NB-IoT) / enhanced Machine Type Communication (</w:t>
      </w:r>
      <w:proofErr w:type="spellStart"/>
      <w:r w:rsidRPr="000E0F53">
        <w:rPr>
          <w:lang w:val="en-US" w:eastAsia="zh-CN"/>
        </w:rPr>
        <w:t>eMTC</w:t>
      </w:r>
      <w:proofErr w:type="spellEnd"/>
      <w:r w:rsidRPr="000E0F53">
        <w:rPr>
          <w:lang w:val="en-US" w:eastAsia="zh-CN"/>
        </w:rPr>
        <w:t>) support for Non-Terrestrial Networks (NTN)</w:t>
      </w:r>
      <w:bookmarkEnd w:id="11"/>
    </w:p>
    <w:sectPr w:rsidR="000E0F53" w:rsidRPr="000E0F53">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57A00" w14:textId="77777777" w:rsidR="00D7528D" w:rsidRDefault="00D7528D">
      <w:r>
        <w:separator/>
      </w:r>
    </w:p>
  </w:endnote>
  <w:endnote w:type="continuationSeparator" w:id="0">
    <w:p w14:paraId="472BF67C" w14:textId="77777777" w:rsidR="00D7528D" w:rsidRDefault="00D7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4E72C8" w:rsidRDefault="004E72C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4E72C8" w:rsidRDefault="004E72C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BA9C4" w14:textId="77777777" w:rsidR="00D7528D" w:rsidRDefault="00D7528D">
      <w:r>
        <w:separator/>
      </w:r>
    </w:p>
  </w:footnote>
  <w:footnote w:type="continuationSeparator" w:id="0">
    <w:p w14:paraId="34F7A7C2" w14:textId="77777777" w:rsidR="00D7528D" w:rsidRDefault="00D7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521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5429F5"/>
    <w:multiLevelType w:val="multilevel"/>
    <w:tmpl w:val="C1C8CA4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0"/>
  </w:num>
  <w:num w:numId="3">
    <w:abstractNumId w:val="12"/>
  </w:num>
  <w:num w:numId="4">
    <w:abstractNumId w:val="17"/>
  </w:num>
  <w:num w:numId="5">
    <w:abstractNumId w:val="6"/>
  </w:num>
  <w:num w:numId="6">
    <w:abstractNumId w:val="5"/>
  </w:num>
  <w:num w:numId="7">
    <w:abstractNumId w:val="7"/>
  </w:num>
  <w:num w:numId="8">
    <w:abstractNumId w:val="25"/>
  </w:num>
  <w:num w:numId="9">
    <w:abstractNumId w:val="19"/>
  </w:num>
  <w:num w:numId="10">
    <w:abstractNumId w:val="8"/>
  </w:num>
  <w:num w:numId="11">
    <w:abstractNumId w:val="23"/>
  </w:num>
  <w:num w:numId="12">
    <w:abstractNumId w:val="2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2"/>
  </w:num>
  <w:num w:numId="16">
    <w:abstractNumId w:val="14"/>
  </w:num>
  <w:num w:numId="17">
    <w:abstractNumId w:val="18"/>
  </w:num>
  <w:num w:numId="18">
    <w:abstractNumId w:val="9"/>
  </w:num>
  <w:num w:numId="19">
    <w:abstractNumId w:val="15"/>
  </w:num>
  <w:num w:numId="20">
    <w:abstractNumId w:val="1"/>
  </w:num>
  <w:num w:numId="21">
    <w:abstractNumId w:val="3"/>
  </w:num>
  <w:num w:numId="22">
    <w:abstractNumId w:val="1"/>
  </w:num>
  <w:num w:numId="23">
    <w:abstractNumId w:val="13"/>
  </w:num>
  <w:num w:numId="24">
    <w:abstractNumId w:val="10"/>
  </w:num>
  <w:num w:numId="25">
    <w:abstractNumId w:val="11"/>
  </w:num>
  <w:num w:numId="26">
    <w:abstractNumId w:val="16"/>
  </w:num>
  <w:num w:numId="27">
    <w:abstractNumId w:val="4"/>
  </w:num>
  <w:num w:numId="28">
    <w:abstractNumId w:val="2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7C5C"/>
    <w:rsid w:val="00041616"/>
    <w:rsid w:val="000450A1"/>
    <w:rsid w:val="00045EFB"/>
    <w:rsid w:val="00046A52"/>
    <w:rsid w:val="0005340A"/>
    <w:rsid w:val="00053F5E"/>
    <w:rsid w:val="0005544A"/>
    <w:rsid w:val="00062D93"/>
    <w:rsid w:val="00062ED6"/>
    <w:rsid w:val="00064200"/>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0F53"/>
    <w:rsid w:val="000E182A"/>
    <w:rsid w:val="000E4339"/>
    <w:rsid w:val="000F11F2"/>
    <w:rsid w:val="000F3BE8"/>
    <w:rsid w:val="000F7073"/>
    <w:rsid w:val="001114F5"/>
    <w:rsid w:val="0011353B"/>
    <w:rsid w:val="00114FC6"/>
    <w:rsid w:val="00115DF2"/>
    <w:rsid w:val="00117D46"/>
    <w:rsid w:val="00127A3D"/>
    <w:rsid w:val="00127C6B"/>
    <w:rsid w:val="00130F91"/>
    <w:rsid w:val="0013132F"/>
    <w:rsid w:val="00134159"/>
    <w:rsid w:val="00147D48"/>
    <w:rsid w:val="0015132E"/>
    <w:rsid w:val="00151954"/>
    <w:rsid w:val="00160CD6"/>
    <w:rsid w:val="00162D5A"/>
    <w:rsid w:val="001643C8"/>
    <w:rsid w:val="00165F91"/>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D1456"/>
    <w:rsid w:val="001D2883"/>
    <w:rsid w:val="001D3C86"/>
    <w:rsid w:val="001D592B"/>
    <w:rsid w:val="001E0B31"/>
    <w:rsid w:val="001E2DFE"/>
    <w:rsid w:val="001E7C98"/>
    <w:rsid w:val="001F0D8F"/>
    <w:rsid w:val="001F2D22"/>
    <w:rsid w:val="001F3A39"/>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730C1"/>
    <w:rsid w:val="0028143C"/>
    <w:rsid w:val="0028508A"/>
    <w:rsid w:val="0028773A"/>
    <w:rsid w:val="002904DA"/>
    <w:rsid w:val="002941FD"/>
    <w:rsid w:val="002970FE"/>
    <w:rsid w:val="00297AE0"/>
    <w:rsid w:val="002B21B5"/>
    <w:rsid w:val="002B78B2"/>
    <w:rsid w:val="002B798C"/>
    <w:rsid w:val="002C4C9C"/>
    <w:rsid w:val="002C6359"/>
    <w:rsid w:val="002C6ACB"/>
    <w:rsid w:val="002D0B7E"/>
    <w:rsid w:val="002D1AD2"/>
    <w:rsid w:val="002D6A9A"/>
    <w:rsid w:val="002D6D5A"/>
    <w:rsid w:val="002E2621"/>
    <w:rsid w:val="002E2BA6"/>
    <w:rsid w:val="002E6359"/>
    <w:rsid w:val="002E6A45"/>
    <w:rsid w:val="002E78C6"/>
    <w:rsid w:val="002F6373"/>
    <w:rsid w:val="0030354E"/>
    <w:rsid w:val="00303FA2"/>
    <w:rsid w:val="003046CE"/>
    <w:rsid w:val="00306CB1"/>
    <w:rsid w:val="00311D72"/>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402B6"/>
    <w:rsid w:val="0034301E"/>
    <w:rsid w:val="003435F3"/>
    <w:rsid w:val="003444BF"/>
    <w:rsid w:val="00355836"/>
    <w:rsid w:val="00356EA5"/>
    <w:rsid w:val="003574C8"/>
    <w:rsid w:val="00362E4B"/>
    <w:rsid w:val="00362E86"/>
    <w:rsid w:val="0036346E"/>
    <w:rsid w:val="00365EAE"/>
    <w:rsid w:val="00377EAF"/>
    <w:rsid w:val="00380B65"/>
    <w:rsid w:val="00383E16"/>
    <w:rsid w:val="00384D0D"/>
    <w:rsid w:val="00386872"/>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5695"/>
    <w:rsid w:val="004174F6"/>
    <w:rsid w:val="00431248"/>
    <w:rsid w:val="0043176C"/>
    <w:rsid w:val="00442A5A"/>
    <w:rsid w:val="00443818"/>
    <w:rsid w:val="0045167F"/>
    <w:rsid w:val="00452E29"/>
    <w:rsid w:val="00457586"/>
    <w:rsid w:val="004607C3"/>
    <w:rsid w:val="00461A25"/>
    <w:rsid w:val="00472871"/>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56F"/>
    <w:rsid w:val="00607ED1"/>
    <w:rsid w:val="00614000"/>
    <w:rsid w:val="0062705C"/>
    <w:rsid w:val="0063079B"/>
    <w:rsid w:val="0063186E"/>
    <w:rsid w:val="00634DD9"/>
    <w:rsid w:val="00635EFA"/>
    <w:rsid w:val="0063772A"/>
    <w:rsid w:val="006416F4"/>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902C7"/>
    <w:rsid w:val="00690330"/>
    <w:rsid w:val="00693457"/>
    <w:rsid w:val="006A05F1"/>
    <w:rsid w:val="006A2DD1"/>
    <w:rsid w:val="006B1598"/>
    <w:rsid w:val="006B1A53"/>
    <w:rsid w:val="006B3EDA"/>
    <w:rsid w:val="006C17CD"/>
    <w:rsid w:val="006C2BCB"/>
    <w:rsid w:val="006C3767"/>
    <w:rsid w:val="006C5AAB"/>
    <w:rsid w:val="006D45EE"/>
    <w:rsid w:val="006D4816"/>
    <w:rsid w:val="006D5672"/>
    <w:rsid w:val="006D6E9F"/>
    <w:rsid w:val="006D6F87"/>
    <w:rsid w:val="006E00D0"/>
    <w:rsid w:val="006E411F"/>
    <w:rsid w:val="006E4B5C"/>
    <w:rsid w:val="006E5DD8"/>
    <w:rsid w:val="006E74B6"/>
    <w:rsid w:val="006F482C"/>
    <w:rsid w:val="006F5CA1"/>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55B2"/>
    <w:rsid w:val="007A5A1B"/>
    <w:rsid w:val="007A62B9"/>
    <w:rsid w:val="007A6A20"/>
    <w:rsid w:val="007B28AD"/>
    <w:rsid w:val="007B7F44"/>
    <w:rsid w:val="007C6920"/>
    <w:rsid w:val="007D68A1"/>
    <w:rsid w:val="007F3B51"/>
    <w:rsid w:val="007F7BAB"/>
    <w:rsid w:val="00803465"/>
    <w:rsid w:val="008062A6"/>
    <w:rsid w:val="00806409"/>
    <w:rsid w:val="00813EDB"/>
    <w:rsid w:val="008149F5"/>
    <w:rsid w:val="00820D6F"/>
    <w:rsid w:val="008222E4"/>
    <w:rsid w:val="0082256D"/>
    <w:rsid w:val="00825916"/>
    <w:rsid w:val="008263B5"/>
    <w:rsid w:val="008276FF"/>
    <w:rsid w:val="00827D1A"/>
    <w:rsid w:val="0083255E"/>
    <w:rsid w:val="00832975"/>
    <w:rsid w:val="00835FF2"/>
    <w:rsid w:val="00837EAA"/>
    <w:rsid w:val="00840E2D"/>
    <w:rsid w:val="00843F4C"/>
    <w:rsid w:val="00852B6C"/>
    <w:rsid w:val="00860C8D"/>
    <w:rsid w:val="00861D70"/>
    <w:rsid w:val="008629DD"/>
    <w:rsid w:val="00862C80"/>
    <w:rsid w:val="008664C8"/>
    <w:rsid w:val="00866D77"/>
    <w:rsid w:val="00867A1F"/>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C32CE"/>
    <w:rsid w:val="008C33EE"/>
    <w:rsid w:val="008C7991"/>
    <w:rsid w:val="008C7EAD"/>
    <w:rsid w:val="008D2C8D"/>
    <w:rsid w:val="008D4FB0"/>
    <w:rsid w:val="008D63A4"/>
    <w:rsid w:val="008E25C2"/>
    <w:rsid w:val="008E29B3"/>
    <w:rsid w:val="008F30F0"/>
    <w:rsid w:val="00900286"/>
    <w:rsid w:val="009102DE"/>
    <w:rsid w:val="0091054C"/>
    <w:rsid w:val="00910C20"/>
    <w:rsid w:val="009265C2"/>
    <w:rsid w:val="00927596"/>
    <w:rsid w:val="009279E1"/>
    <w:rsid w:val="00931338"/>
    <w:rsid w:val="00935C12"/>
    <w:rsid w:val="009465FB"/>
    <w:rsid w:val="00947924"/>
    <w:rsid w:val="009502C4"/>
    <w:rsid w:val="00952A24"/>
    <w:rsid w:val="009579AD"/>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40FC"/>
    <w:rsid w:val="009D062C"/>
    <w:rsid w:val="009D440A"/>
    <w:rsid w:val="009E7AEB"/>
    <w:rsid w:val="009F1CBC"/>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D93"/>
    <w:rsid w:val="00A5303A"/>
    <w:rsid w:val="00A55EC8"/>
    <w:rsid w:val="00A600B3"/>
    <w:rsid w:val="00A607F8"/>
    <w:rsid w:val="00A62CBB"/>
    <w:rsid w:val="00A72ADF"/>
    <w:rsid w:val="00A7361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6F28"/>
    <w:rsid w:val="00AA7DCD"/>
    <w:rsid w:val="00AB495B"/>
    <w:rsid w:val="00AB50B0"/>
    <w:rsid w:val="00AB67E0"/>
    <w:rsid w:val="00AC0603"/>
    <w:rsid w:val="00AC0E89"/>
    <w:rsid w:val="00AC3166"/>
    <w:rsid w:val="00AC6F42"/>
    <w:rsid w:val="00AD0A6F"/>
    <w:rsid w:val="00AD550C"/>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6366"/>
    <w:rsid w:val="00B27ABA"/>
    <w:rsid w:val="00B30389"/>
    <w:rsid w:val="00B33866"/>
    <w:rsid w:val="00B4222D"/>
    <w:rsid w:val="00B443A1"/>
    <w:rsid w:val="00B45FC7"/>
    <w:rsid w:val="00B469F5"/>
    <w:rsid w:val="00B563FF"/>
    <w:rsid w:val="00B56673"/>
    <w:rsid w:val="00B57882"/>
    <w:rsid w:val="00B65174"/>
    <w:rsid w:val="00B70246"/>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565B"/>
    <w:rsid w:val="00BB6A85"/>
    <w:rsid w:val="00BC0887"/>
    <w:rsid w:val="00BC3D53"/>
    <w:rsid w:val="00BC484B"/>
    <w:rsid w:val="00BC61C3"/>
    <w:rsid w:val="00BD0199"/>
    <w:rsid w:val="00BD0D4F"/>
    <w:rsid w:val="00BD2263"/>
    <w:rsid w:val="00BD2C80"/>
    <w:rsid w:val="00BD7AE1"/>
    <w:rsid w:val="00BE0A7A"/>
    <w:rsid w:val="00BE19FD"/>
    <w:rsid w:val="00BE7297"/>
    <w:rsid w:val="00BF16A0"/>
    <w:rsid w:val="00C00147"/>
    <w:rsid w:val="00C0103B"/>
    <w:rsid w:val="00C04414"/>
    <w:rsid w:val="00C04809"/>
    <w:rsid w:val="00C06799"/>
    <w:rsid w:val="00C104F2"/>
    <w:rsid w:val="00C12E7E"/>
    <w:rsid w:val="00C13FF4"/>
    <w:rsid w:val="00C169E8"/>
    <w:rsid w:val="00C200DE"/>
    <w:rsid w:val="00C201E3"/>
    <w:rsid w:val="00C2334E"/>
    <w:rsid w:val="00C240FE"/>
    <w:rsid w:val="00C24D67"/>
    <w:rsid w:val="00C2728C"/>
    <w:rsid w:val="00C32781"/>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766F"/>
    <w:rsid w:val="00C91E19"/>
    <w:rsid w:val="00C9291F"/>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2C3B"/>
    <w:rsid w:val="00D7528D"/>
    <w:rsid w:val="00D760A1"/>
    <w:rsid w:val="00D763A6"/>
    <w:rsid w:val="00D8346E"/>
    <w:rsid w:val="00D8658A"/>
    <w:rsid w:val="00D93A30"/>
    <w:rsid w:val="00D93AD3"/>
    <w:rsid w:val="00D94D2C"/>
    <w:rsid w:val="00DA085E"/>
    <w:rsid w:val="00DA4B38"/>
    <w:rsid w:val="00DA5039"/>
    <w:rsid w:val="00DA6869"/>
    <w:rsid w:val="00DB5BB2"/>
    <w:rsid w:val="00DB5CB1"/>
    <w:rsid w:val="00DB733D"/>
    <w:rsid w:val="00DC0155"/>
    <w:rsid w:val="00DC183E"/>
    <w:rsid w:val="00DC6E07"/>
    <w:rsid w:val="00DD0409"/>
    <w:rsid w:val="00DD0D76"/>
    <w:rsid w:val="00DD37A1"/>
    <w:rsid w:val="00DD7095"/>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D0"/>
    <w:rsid w:val="00E72A52"/>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5344"/>
    <w:rsid w:val="00F17B4E"/>
    <w:rsid w:val="00F17F2A"/>
    <w:rsid w:val="00F20378"/>
    <w:rsid w:val="00F20615"/>
    <w:rsid w:val="00F2238C"/>
    <w:rsid w:val="00F22526"/>
    <w:rsid w:val="00F2256B"/>
    <w:rsid w:val="00F242AC"/>
    <w:rsid w:val="00F26986"/>
    <w:rsid w:val="00F3139D"/>
    <w:rsid w:val="00F37C8D"/>
    <w:rsid w:val="00F43C34"/>
    <w:rsid w:val="00F45EED"/>
    <w:rsid w:val="00F467CE"/>
    <w:rsid w:val="00F50616"/>
    <w:rsid w:val="00F508D1"/>
    <w:rsid w:val="00F56022"/>
    <w:rsid w:val="00F57BD2"/>
    <w:rsid w:val="00F61DC0"/>
    <w:rsid w:val="00F6288A"/>
    <w:rsid w:val="00F62AF3"/>
    <w:rsid w:val="00F65DFD"/>
    <w:rsid w:val="00F7759A"/>
    <w:rsid w:val="00F82634"/>
    <w:rsid w:val="00F83487"/>
    <w:rsid w:val="00F85218"/>
    <w:rsid w:val="00F875A4"/>
    <w:rsid w:val="00F94CDB"/>
    <w:rsid w:val="00F96E0A"/>
    <w:rsid w:val="00FA05F8"/>
    <w:rsid w:val="00FA2162"/>
    <w:rsid w:val="00FA2AC6"/>
    <w:rsid w:val="00FA4D33"/>
    <w:rsid w:val="00FB08DE"/>
    <w:rsid w:val="00FB2D5D"/>
    <w:rsid w:val="00FC0ACA"/>
    <w:rsid w:val="00FC2E0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 w:type="paragraph" w:customStyle="1" w:styleId="3GPPHeader">
    <w:name w:val="3GPP_Header"/>
    <w:basedOn w:val="a"/>
    <w:qFormat/>
    <w:rsid w:val="00AC6F42"/>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rsid w:val="00041616"/>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310259326">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481047710">
      <w:bodyDiv w:val="1"/>
      <w:marLeft w:val="0"/>
      <w:marRight w:val="0"/>
      <w:marTop w:val="0"/>
      <w:marBottom w:val="0"/>
      <w:divBdr>
        <w:top w:val="none" w:sz="0" w:space="0" w:color="auto"/>
        <w:left w:val="none" w:sz="0" w:space="0" w:color="auto"/>
        <w:bottom w:val="none" w:sz="0" w:space="0" w:color="auto"/>
        <w:right w:val="none" w:sz="0" w:space="0" w:color="auto"/>
      </w:divBdr>
    </w:div>
    <w:div w:id="490949211">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801382457">
      <w:bodyDiv w:val="1"/>
      <w:marLeft w:val="0"/>
      <w:marRight w:val="0"/>
      <w:marTop w:val="0"/>
      <w:marBottom w:val="0"/>
      <w:divBdr>
        <w:top w:val="none" w:sz="0" w:space="0" w:color="auto"/>
        <w:left w:val="none" w:sz="0" w:space="0" w:color="auto"/>
        <w:bottom w:val="none" w:sz="0" w:space="0" w:color="auto"/>
        <w:right w:val="none" w:sz="0" w:space="0" w:color="auto"/>
      </w:divBdr>
    </w:div>
    <w:div w:id="949045081">
      <w:bodyDiv w:val="1"/>
      <w:marLeft w:val="0"/>
      <w:marRight w:val="0"/>
      <w:marTop w:val="0"/>
      <w:marBottom w:val="0"/>
      <w:divBdr>
        <w:top w:val="none" w:sz="0" w:space="0" w:color="auto"/>
        <w:left w:val="none" w:sz="0" w:space="0" w:color="auto"/>
        <w:bottom w:val="none" w:sz="0" w:space="0" w:color="auto"/>
        <w:right w:val="none" w:sz="0" w:space="0" w:color="auto"/>
      </w:divBdr>
    </w:div>
    <w:div w:id="1059742068">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284386293">
      <w:bodyDiv w:val="1"/>
      <w:marLeft w:val="0"/>
      <w:marRight w:val="0"/>
      <w:marTop w:val="0"/>
      <w:marBottom w:val="0"/>
      <w:divBdr>
        <w:top w:val="none" w:sz="0" w:space="0" w:color="auto"/>
        <w:left w:val="none" w:sz="0" w:space="0" w:color="auto"/>
        <w:bottom w:val="none" w:sz="0" w:space="0" w:color="auto"/>
        <w:right w:val="none" w:sz="0" w:space="0" w:color="auto"/>
      </w:divBdr>
    </w:div>
    <w:div w:id="1322998412">
      <w:bodyDiv w:val="1"/>
      <w:marLeft w:val="0"/>
      <w:marRight w:val="0"/>
      <w:marTop w:val="0"/>
      <w:marBottom w:val="0"/>
      <w:divBdr>
        <w:top w:val="none" w:sz="0" w:space="0" w:color="auto"/>
        <w:left w:val="none" w:sz="0" w:space="0" w:color="auto"/>
        <w:bottom w:val="none" w:sz="0" w:space="0" w:color="auto"/>
        <w:right w:val="none" w:sz="0" w:space="0" w:color="auto"/>
      </w:divBdr>
    </w:div>
    <w:div w:id="1399862860">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439FD-167E-4035-8259-AF5A02DD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Pages>
  <Words>701</Words>
  <Characters>3998</Characters>
  <Application>Microsoft Office Word</Application>
  <DocSecurity>0</DocSecurity>
  <Lines>33</Lines>
  <Paragraphs>9</Paragraphs>
  <ScaleCrop>false</ScaleCrop>
  <Company>ZTE Corporation</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ZTE-Fangyu</cp:lastModifiedBy>
  <cp:revision>167</cp:revision>
  <cp:lastPrinted>2002-04-27T09:10:00Z</cp:lastPrinted>
  <dcterms:created xsi:type="dcterms:W3CDTF">2024-08-05T02:01:00Z</dcterms:created>
  <dcterms:modified xsi:type="dcterms:W3CDTF">2025-08-14T06:46:00Z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